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B5" w:rsidRDefault="004B5CB5" w:rsidP="004B5CB5">
      <w:pPr>
        <w:jc w:val="center"/>
        <w:rPr>
          <w:rFonts w:ascii="Adobe Caslon Pro" w:hAnsi="Adobe Caslon Pro"/>
          <w:b/>
          <w:sz w:val="24"/>
          <w:u w:val="single"/>
        </w:rPr>
      </w:pPr>
      <w:r>
        <w:rPr>
          <w:rFonts w:ascii="Adobe Caslon Pro" w:hAnsi="Adobe Caslon Pro"/>
          <w:b/>
          <w:noProof/>
          <w:sz w:val="24"/>
          <w:u w:val="single"/>
          <w:lang w:eastAsia="es-CL"/>
        </w:rPr>
        <w:drawing>
          <wp:anchor distT="0" distB="0" distL="114300" distR="114300" simplePos="0" relativeHeight="251658240" behindDoc="0" locked="0" layoutInCell="1" allowOverlap="1" wp14:anchorId="533FBC35" wp14:editId="4F240EDA">
            <wp:simplePos x="1854679" y="897147"/>
            <wp:positionH relativeFrom="margin">
              <wp:align>left</wp:align>
            </wp:positionH>
            <wp:positionV relativeFrom="margin">
              <wp:align>top</wp:align>
            </wp:positionV>
            <wp:extent cx="2554605" cy="459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lnbe.png"/>
                    <pic:cNvPicPr/>
                  </pic:nvPicPr>
                  <pic:blipFill>
                    <a:blip r:embed="rId6">
                      <a:extLst>
                        <a:ext uri="{28A0092B-C50C-407E-A947-70E740481C1C}">
                          <a14:useLocalDpi xmlns:a14="http://schemas.microsoft.com/office/drawing/2010/main" val="0"/>
                        </a:ext>
                      </a:extLst>
                    </a:blip>
                    <a:stretch>
                      <a:fillRect/>
                    </a:stretch>
                  </pic:blipFill>
                  <pic:spPr>
                    <a:xfrm>
                      <a:off x="0" y="0"/>
                      <a:ext cx="2597514" cy="467553"/>
                    </a:xfrm>
                    <a:prstGeom prst="rect">
                      <a:avLst/>
                    </a:prstGeom>
                  </pic:spPr>
                </pic:pic>
              </a:graphicData>
            </a:graphic>
            <wp14:sizeRelH relativeFrom="margin">
              <wp14:pctWidth>0</wp14:pctWidth>
            </wp14:sizeRelH>
            <wp14:sizeRelV relativeFrom="margin">
              <wp14:pctHeight>0</wp14:pctHeight>
            </wp14:sizeRelV>
          </wp:anchor>
        </w:drawing>
      </w:r>
      <w:r>
        <w:rPr>
          <w:rFonts w:ascii="Adobe Caslon Pro" w:hAnsi="Adobe Caslon Pro"/>
          <w:b/>
          <w:noProof/>
          <w:sz w:val="24"/>
          <w:u w:val="single"/>
          <w:lang w:eastAsia="es-CL"/>
        </w:rPr>
        <w:drawing>
          <wp:anchor distT="0" distB="0" distL="114300" distR="114300" simplePos="0" relativeHeight="251659264" behindDoc="0" locked="0" layoutInCell="1" allowOverlap="1" wp14:anchorId="1D6731B9" wp14:editId="1AEB5329">
            <wp:simplePos x="0" y="0"/>
            <wp:positionH relativeFrom="margin">
              <wp:posOffset>4915523</wp:posOffset>
            </wp:positionH>
            <wp:positionV relativeFrom="margin">
              <wp:posOffset>-177033</wp:posOffset>
            </wp:positionV>
            <wp:extent cx="724535" cy="5365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elibera 800x600-W8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4535" cy="536575"/>
                    </a:xfrm>
                    <a:prstGeom prst="rect">
                      <a:avLst/>
                    </a:prstGeom>
                  </pic:spPr>
                </pic:pic>
              </a:graphicData>
            </a:graphic>
            <wp14:sizeRelH relativeFrom="margin">
              <wp14:pctWidth>0</wp14:pctWidth>
            </wp14:sizeRelH>
            <wp14:sizeRelV relativeFrom="margin">
              <wp14:pctHeight>0</wp14:pctHeight>
            </wp14:sizeRelV>
          </wp:anchor>
        </w:drawing>
      </w:r>
    </w:p>
    <w:p w:rsidR="0098124A" w:rsidRDefault="0098124A" w:rsidP="004B5CB5">
      <w:pPr>
        <w:jc w:val="center"/>
        <w:rPr>
          <w:rFonts w:ascii="Adobe Caslon Pro" w:hAnsi="Adobe Caslon Pro"/>
          <w:b/>
          <w:sz w:val="24"/>
          <w:u w:val="single"/>
        </w:rPr>
      </w:pPr>
    </w:p>
    <w:p w:rsidR="00371CF2" w:rsidRPr="004B5CB5" w:rsidRDefault="00351088" w:rsidP="004B5CB5">
      <w:pPr>
        <w:jc w:val="center"/>
        <w:rPr>
          <w:rFonts w:ascii="Adobe Caslon Pro" w:hAnsi="Adobe Caslon Pro"/>
          <w:b/>
          <w:sz w:val="28"/>
          <w:u w:val="single"/>
        </w:rPr>
      </w:pPr>
      <w:r w:rsidRPr="004B5CB5">
        <w:rPr>
          <w:rFonts w:ascii="Adobe Caslon Pro" w:hAnsi="Adobe Caslon Pro"/>
          <w:b/>
          <w:sz w:val="28"/>
          <w:u w:val="single"/>
        </w:rPr>
        <w:t>Carta de patrocinio</w:t>
      </w:r>
    </w:p>
    <w:p w:rsidR="00351088" w:rsidRPr="004B5CB5" w:rsidRDefault="004B5CB5" w:rsidP="004B5CB5">
      <w:pPr>
        <w:jc w:val="both"/>
        <w:rPr>
          <w:rFonts w:ascii="Adobe Caslon Pro" w:hAnsi="Adobe Caslon Pro"/>
        </w:rPr>
      </w:pPr>
      <w:r>
        <w:rPr>
          <w:rFonts w:ascii="Adobe Caslon Pro" w:hAnsi="Adobe Caslon Pro"/>
        </w:rPr>
        <w:t xml:space="preserve">Yo </w:t>
      </w:r>
      <w:r w:rsidR="003455AA">
        <w:rPr>
          <w:rFonts w:ascii="Adobe Caslon Pro" w:hAnsi="Adobe Caslon Pro"/>
        </w:rPr>
        <w:t>Juan Morano</w:t>
      </w:r>
      <w:r w:rsidR="00351088" w:rsidRPr="004B5CB5">
        <w:rPr>
          <w:rFonts w:ascii="Adobe Caslon Pro" w:hAnsi="Adobe Caslon Pro"/>
        </w:rPr>
        <w:t xml:space="preserve"> en mi calidad de </w:t>
      </w:r>
      <w:r w:rsidR="003455AA">
        <w:rPr>
          <w:rFonts w:ascii="Adobe Caslon Pro" w:hAnsi="Adobe Caslon Pro"/>
        </w:rPr>
        <w:t>Diputado</w:t>
      </w:r>
      <w:r w:rsidR="00351088" w:rsidRPr="004B5CB5">
        <w:rPr>
          <w:rFonts w:ascii="Adobe Caslon Pro" w:hAnsi="Adobe Caslon Pro"/>
        </w:rPr>
        <w:t>, extiendo mi apoyo y patrocinio a la iniciativa juvenil de ley “Ley de Fomento de Inversión de Privados en Liceos Técnicos”, propuesta por el Liceo Nacional Bicentenario de Excelencia San Bernardo, en el marco del Torneo Delibera 2016.</w:t>
      </w:r>
    </w:p>
    <w:p w:rsidR="004B5CB5" w:rsidRPr="004B5CB5" w:rsidRDefault="00351088" w:rsidP="004B5CB5">
      <w:pPr>
        <w:jc w:val="both"/>
        <w:rPr>
          <w:rFonts w:ascii="Adobe Caslon Pro" w:hAnsi="Adobe Caslon Pro"/>
        </w:rPr>
      </w:pPr>
      <w:r w:rsidRPr="004B5CB5">
        <w:rPr>
          <w:rFonts w:ascii="Adobe Caslon Pro" w:hAnsi="Adobe Caslon Pro"/>
        </w:rPr>
        <w:t xml:space="preserve">Otorgo mi patrocinio a su iniciativa juvenil </w:t>
      </w:r>
      <w:r w:rsidRPr="00B21C06">
        <w:rPr>
          <w:rFonts w:ascii="Adobe Caslon Pro" w:hAnsi="Adobe Caslon Pro"/>
        </w:rPr>
        <w:t>de ley</w:t>
      </w:r>
      <w:r w:rsidR="00B21C06" w:rsidRPr="00B21C06">
        <w:rPr>
          <w:rFonts w:ascii="Adobe Caslon Pro" w:hAnsi="Adobe Caslon Pro"/>
        </w:rPr>
        <w:t>, pues esta</w:t>
      </w:r>
      <w:r w:rsidR="00BE77DF">
        <w:rPr>
          <w:rFonts w:ascii="Adobe Caslon Pro" w:hAnsi="Adobe Caslon Pro"/>
        </w:rPr>
        <w:t xml:space="preserve"> es</w:t>
      </w:r>
      <w:r w:rsidR="008455E2" w:rsidRPr="00B21C06">
        <w:rPr>
          <w:rFonts w:ascii="Adobe Caslon Pro" w:hAnsi="Adobe Caslon Pro"/>
        </w:rPr>
        <w:t xml:space="preserve"> </w:t>
      </w:r>
      <w:r w:rsidRPr="00B21C06">
        <w:rPr>
          <w:rFonts w:ascii="Adobe Caslon Pro" w:hAnsi="Adobe Caslon Pro"/>
        </w:rPr>
        <w:t>enfocada</w:t>
      </w:r>
      <w:r w:rsidR="0098124A">
        <w:rPr>
          <w:rFonts w:ascii="Adobe Caslon Pro" w:hAnsi="Adobe Caslon Pro"/>
        </w:rPr>
        <w:t xml:space="preserve"> en ayudar a la E</w:t>
      </w:r>
      <w:r w:rsidRPr="004B5CB5">
        <w:rPr>
          <w:rFonts w:ascii="Adobe Caslon Pro" w:hAnsi="Adobe Caslon Pro"/>
        </w:rPr>
        <w:t xml:space="preserve">ducación </w:t>
      </w:r>
      <w:r w:rsidR="0098124A">
        <w:rPr>
          <w:rFonts w:ascii="Adobe Caslon Pro" w:hAnsi="Adobe Caslon Pro"/>
        </w:rPr>
        <w:t>Media T</w:t>
      </w:r>
      <w:r w:rsidRPr="004B5CB5">
        <w:rPr>
          <w:rFonts w:ascii="Adobe Caslon Pro" w:hAnsi="Adobe Caslon Pro"/>
        </w:rPr>
        <w:t xml:space="preserve">écnica </w:t>
      </w:r>
      <w:r w:rsidR="0098124A">
        <w:rPr>
          <w:rFonts w:ascii="Adobe Caslon Pro" w:hAnsi="Adobe Caslon Pro"/>
        </w:rPr>
        <w:t xml:space="preserve">(EMTP) </w:t>
      </w:r>
      <w:r w:rsidRPr="004B5CB5">
        <w:rPr>
          <w:rFonts w:ascii="Adobe Caslon Pro" w:hAnsi="Adobe Caslon Pro"/>
        </w:rPr>
        <w:t xml:space="preserve">del país </w:t>
      </w:r>
      <w:r w:rsidR="001E0041">
        <w:rPr>
          <w:rFonts w:ascii="Adobe Caslon Pro" w:hAnsi="Adobe Caslon Pro"/>
        </w:rPr>
        <w:t>en base a</w:t>
      </w:r>
      <w:r w:rsidRPr="004B5CB5">
        <w:rPr>
          <w:rFonts w:ascii="Adobe Caslon Pro" w:hAnsi="Adobe Caslon Pro"/>
        </w:rPr>
        <w:t xml:space="preserve"> los siguientes fundamentos:</w:t>
      </w:r>
    </w:p>
    <w:p w:rsidR="0098124A" w:rsidRDefault="00351088" w:rsidP="0098124A">
      <w:pPr>
        <w:pStyle w:val="Prrafodelista"/>
        <w:numPr>
          <w:ilvl w:val="0"/>
          <w:numId w:val="3"/>
        </w:numPr>
        <w:jc w:val="both"/>
        <w:rPr>
          <w:rFonts w:ascii="Adobe Caslon Pro" w:hAnsi="Adobe Caslon Pro"/>
        </w:rPr>
      </w:pPr>
      <w:r w:rsidRPr="004B5CB5">
        <w:rPr>
          <w:rFonts w:ascii="Adobe Caslon Pro" w:hAnsi="Adobe Caslon Pro"/>
        </w:rPr>
        <w:t>En términos de matrícula, alrededor de 204.000 estudiantes se adscriben a la modalidad de Técnico Profesional representando al 44.7% de la matrícula total</w:t>
      </w:r>
      <w:r w:rsidR="00C352E3" w:rsidRPr="004B5CB5">
        <w:rPr>
          <w:rFonts w:ascii="Adobe Caslon Pro" w:hAnsi="Adobe Caslon Pro"/>
        </w:rPr>
        <w:t>. El 90% de los estudiantes pertenece a los dos menores quintiles de ingresos.</w:t>
      </w:r>
    </w:p>
    <w:p w:rsidR="00C352E3" w:rsidRPr="0098124A" w:rsidRDefault="00C352E3" w:rsidP="0098124A">
      <w:pPr>
        <w:pStyle w:val="Prrafodelista"/>
        <w:jc w:val="both"/>
        <w:rPr>
          <w:rFonts w:ascii="Adobe Caslon Pro" w:hAnsi="Adobe Caslon Pro"/>
        </w:rPr>
      </w:pPr>
      <w:r w:rsidRPr="0098124A">
        <w:rPr>
          <w:rFonts w:ascii="Adobe Caslon Pro" w:hAnsi="Adobe Caslon Pro"/>
        </w:rPr>
        <w:t>En países más desarrollados como Austria y Bélgica la educación Técnica Profesional representa alrededor del 70% de la matrícula total de estudiantes.</w:t>
      </w:r>
    </w:p>
    <w:p w:rsidR="0098124A" w:rsidRDefault="000B2031" w:rsidP="0098124A">
      <w:pPr>
        <w:pStyle w:val="Prrafodelista"/>
        <w:numPr>
          <w:ilvl w:val="0"/>
          <w:numId w:val="3"/>
        </w:numPr>
        <w:jc w:val="both"/>
        <w:rPr>
          <w:rFonts w:ascii="Adobe Caslon Pro" w:hAnsi="Adobe Caslon Pro"/>
        </w:rPr>
      </w:pPr>
      <w:r w:rsidRPr="004B5CB5">
        <w:rPr>
          <w:rFonts w:ascii="Adobe Caslon Pro" w:hAnsi="Adobe Caslon Pro"/>
        </w:rPr>
        <w:t xml:space="preserve">Muchos Liceos Técnicos Profesionales han declarado no poseer los recursos necesarios para impartir las clases prácticas requeridas en el </w:t>
      </w:r>
      <w:r w:rsidR="004B5CB5" w:rsidRPr="004B5CB5">
        <w:rPr>
          <w:rFonts w:ascii="Adobe Caslon Pro" w:hAnsi="Adobe Caslon Pro"/>
        </w:rPr>
        <w:t>currículo</w:t>
      </w:r>
      <w:r w:rsidR="00BE77DF">
        <w:rPr>
          <w:rFonts w:ascii="Adobe Caslon Pro" w:hAnsi="Adobe Caslon Pro"/>
        </w:rPr>
        <w:t>;</w:t>
      </w:r>
      <w:r w:rsidRPr="004B5CB5">
        <w:rPr>
          <w:rFonts w:ascii="Adobe Caslon Pro" w:hAnsi="Adobe Caslon Pro"/>
        </w:rPr>
        <w:t xml:space="preserve"> a pesar de los ingresos que reciben por parte del Ministerio de Educación, estos no son suficientes para el correcto equipamiento de los establecimientos.</w:t>
      </w:r>
    </w:p>
    <w:p w:rsidR="000B2031" w:rsidRPr="0098124A" w:rsidRDefault="0098124A" w:rsidP="0098124A">
      <w:pPr>
        <w:pStyle w:val="Prrafodelista"/>
        <w:numPr>
          <w:ilvl w:val="0"/>
          <w:numId w:val="3"/>
        </w:numPr>
        <w:jc w:val="both"/>
        <w:rPr>
          <w:rFonts w:ascii="Adobe Caslon Pro" w:hAnsi="Adobe Caslon Pro"/>
        </w:rPr>
      </w:pPr>
      <w:r>
        <w:rPr>
          <w:rFonts w:ascii="Adobe Caslon Pro" w:hAnsi="Adobe Caslon Pro"/>
        </w:rPr>
        <w:t>Es necesario para generar desarrollo económico y tecnológico, que la EMTP se lleve a cabo de manera íntegra y exitosa en base al área productiva del territorio en el cual se ubica, es por esto que proponemos instaurar las especialidades de esta modalidad educativa, acorde a lo solicitado por el mercado.</w:t>
      </w:r>
    </w:p>
    <w:p w:rsidR="001E0041" w:rsidRDefault="000B2031" w:rsidP="004B5CB5">
      <w:pPr>
        <w:jc w:val="both"/>
        <w:rPr>
          <w:rFonts w:ascii="Adobe Caslon Pro" w:hAnsi="Adobe Caslon Pro"/>
        </w:rPr>
      </w:pPr>
      <w:r w:rsidRPr="004B5CB5">
        <w:rPr>
          <w:rFonts w:ascii="Adobe Caslon Pro" w:hAnsi="Adobe Caslon Pro"/>
        </w:rPr>
        <w:t xml:space="preserve">Podemos ver la importancia de los Liceos Técnicos Profesionales como uno de los pilares fundamentales para el desarrollo del país, y por consiguiente el rol al que pueden optar los privados como inversionistas </w:t>
      </w:r>
      <w:r w:rsidR="004B5CB5" w:rsidRPr="004B5CB5">
        <w:rPr>
          <w:rFonts w:ascii="Adobe Caslon Pro" w:hAnsi="Adobe Caslon Pro"/>
        </w:rPr>
        <w:t>en donde obtendrían capital humano de calidad y la opción de generar nuevas tecnologías.</w:t>
      </w:r>
      <w:r w:rsidR="00B21C06" w:rsidRPr="00B21C06">
        <w:rPr>
          <w:rFonts w:ascii="Adobe Caslon Pro" w:hAnsi="Adobe Caslon Pro"/>
        </w:rPr>
        <w:t xml:space="preserve"> </w:t>
      </w:r>
    </w:p>
    <w:p w:rsidR="004B5CB5" w:rsidRPr="004B5CB5" w:rsidRDefault="004B5CB5" w:rsidP="004B5CB5">
      <w:pPr>
        <w:jc w:val="both"/>
        <w:rPr>
          <w:rFonts w:ascii="Adobe Caslon Pro" w:hAnsi="Adobe Caslon Pro"/>
        </w:rPr>
      </w:pPr>
    </w:p>
    <w:p w:rsidR="00C352E3" w:rsidRPr="004B5CB5" w:rsidRDefault="003455AA" w:rsidP="004B5CB5">
      <w:pPr>
        <w:jc w:val="both"/>
        <w:rPr>
          <w:rFonts w:ascii="Adobe Caslon Pro" w:hAnsi="Adobe Caslon Pro"/>
        </w:rPr>
      </w:pPr>
      <w:bookmarkStart w:id="0" w:name="_GoBack"/>
      <w:bookmarkEnd w:id="0"/>
      <w:r>
        <w:rPr>
          <w:rFonts w:ascii="Adobe Caslon Pro" w:hAnsi="Adobe Caslon Pro"/>
          <w:noProof/>
          <w:lang w:eastAsia="es-CL"/>
        </w:rPr>
        <w:drawing>
          <wp:anchor distT="0" distB="0" distL="114300" distR="114300" simplePos="0" relativeHeight="251658240" behindDoc="1" locked="0" layoutInCell="1" allowOverlap="1" wp14:anchorId="04F30DFC" wp14:editId="7B6C2E5F">
            <wp:simplePos x="0" y="0"/>
            <wp:positionH relativeFrom="column">
              <wp:posOffset>2053590</wp:posOffset>
            </wp:positionH>
            <wp:positionV relativeFrom="paragraph">
              <wp:posOffset>83185</wp:posOffset>
            </wp:positionV>
            <wp:extent cx="2590800" cy="1143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2.jpg"/>
                    <pic:cNvPicPr/>
                  </pic:nvPicPr>
                  <pic:blipFill>
                    <a:blip r:embed="rId8">
                      <a:extLst>
                        <a:ext uri="{28A0092B-C50C-407E-A947-70E740481C1C}">
                          <a14:useLocalDpi xmlns:a14="http://schemas.microsoft.com/office/drawing/2010/main" val="0"/>
                        </a:ext>
                      </a:extLst>
                    </a:blip>
                    <a:stretch>
                      <a:fillRect/>
                    </a:stretch>
                  </pic:blipFill>
                  <pic:spPr>
                    <a:xfrm>
                      <a:off x="0" y="0"/>
                      <a:ext cx="2590800" cy="1143000"/>
                    </a:xfrm>
                    <a:prstGeom prst="rect">
                      <a:avLst/>
                    </a:prstGeom>
                  </pic:spPr>
                </pic:pic>
              </a:graphicData>
            </a:graphic>
          </wp:anchor>
        </w:drawing>
      </w:r>
    </w:p>
    <w:sectPr w:rsidR="00C352E3" w:rsidRPr="004B5C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B64C2"/>
    <w:multiLevelType w:val="hybridMultilevel"/>
    <w:tmpl w:val="63CACBAE"/>
    <w:lvl w:ilvl="0" w:tplc="340A0003">
      <w:start w:val="1"/>
      <w:numFmt w:val="bullet"/>
      <w:lvlText w:val="o"/>
      <w:lvlJc w:val="left"/>
      <w:pPr>
        <w:ind w:left="720" w:hanging="360"/>
      </w:pPr>
      <w:rPr>
        <w:rFonts w:ascii="Courier New" w:hAnsi="Courier New" w:cs="Courier New"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165340E"/>
    <w:multiLevelType w:val="hybridMultilevel"/>
    <w:tmpl w:val="2A241D2C"/>
    <w:lvl w:ilvl="0" w:tplc="150E18C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FE1095"/>
    <w:multiLevelType w:val="hybridMultilevel"/>
    <w:tmpl w:val="8E7A521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88"/>
    <w:rsid w:val="000B2031"/>
    <w:rsid w:val="001E0041"/>
    <w:rsid w:val="003455AA"/>
    <w:rsid w:val="00351088"/>
    <w:rsid w:val="00371CF2"/>
    <w:rsid w:val="003D423B"/>
    <w:rsid w:val="004B5CB5"/>
    <w:rsid w:val="00607774"/>
    <w:rsid w:val="008455E2"/>
    <w:rsid w:val="0098124A"/>
    <w:rsid w:val="00B21C06"/>
    <w:rsid w:val="00BE77DF"/>
    <w:rsid w:val="00C352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0FE8A-AE1C-4E00-987C-030C4CAA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5A70A-178F-4453-B2DD-82EDAB0E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sharom</dc:creator>
  <cp:keywords/>
  <dc:description/>
  <cp:lastModifiedBy>Ivan Flores Garcia</cp:lastModifiedBy>
  <cp:revision>2</cp:revision>
  <dcterms:created xsi:type="dcterms:W3CDTF">2016-08-31T18:09:00Z</dcterms:created>
  <dcterms:modified xsi:type="dcterms:W3CDTF">2016-08-31T18:09:00Z</dcterms:modified>
</cp:coreProperties>
</file>