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28A13" w14:textId="77777777" w:rsidR="008D2208" w:rsidRPr="00B70E1A" w:rsidRDefault="00806BBA">
      <w:pPr>
        <w:pStyle w:val="Sinespaciado"/>
        <w:rPr>
          <w:color w:val="auto"/>
          <w:lang w:val="es-ES_tradnl"/>
        </w:rPr>
      </w:pPr>
      <w:r w:rsidRPr="00B70E1A">
        <w:rPr>
          <w:color w:val="auto"/>
          <w:lang w:val="es-CL" w:eastAsia="es-CL"/>
        </w:rPr>
        <w:drawing>
          <wp:anchor distT="0" distB="0" distL="114300" distR="114300" simplePos="0" relativeHeight="251658240" behindDoc="0" locked="0" layoutInCell="1" allowOverlap="1" wp14:anchorId="2A0D790D" wp14:editId="61E9C096">
            <wp:simplePos x="0" y="0"/>
            <wp:positionH relativeFrom="column">
              <wp:posOffset>-118745</wp:posOffset>
            </wp:positionH>
            <wp:positionV relativeFrom="paragraph">
              <wp:posOffset>-872490</wp:posOffset>
            </wp:positionV>
            <wp:extent cx="2905125" cy="709295"/>
            <wp:effectExtent l="0" t="0" r="0" b="1905"/>
            <wp:wrapNone/>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1123" w:type="dxa"/>
        <w:jc w:val="center"/>
        <w:tblLayout w:type="fixed"/>
        <w:tblCellMar>
          <w:left w:w="0" w:type="dxa"/>
          <w:right w:w="0" w:type="dxa"/>
        </w:tblCellMar>
        <w:tblLook w:val="04A0" w:firstRow="1" w:lastRow="0" w:firstColumn="1" w:lastColumn="0" w:noHBand="0" w:noVBand="1"/>
      </w:tblPr>
      <w:tblGrid>
        <w:gridCol w:w="7523"/>
        <w:gridCol w:w="141"/>
        <w:gridCol w:w="3459"/>
      </w:tblGrid>
      <w:tr w:rsidR="00B70E1A" w:rsidRPr="00B70E1A" w14:paraId="504AF767" w14:textId="77777777" w:rsidTr="00913594">
        <w:trPr>
          <w:cantSplit/>
          <w:trHeight w:hRule="exact" w:val="72"/>
          <w:jc w:val="center"/>
        </w:trPr>
        <w:tc>
          <w:tcPr>
            <w:tcW w:w="7523" w:type="dxa"/>
            <w:tcBorders>
              <w:top w:val="single" w:sz="4" w:space="0" w:color="FFFFFF"/>
            </w:tcBorders>
            <w:shd w:val="clear" w:color="auto" w:fill="auto"/>
          </w:tcPr>
          <w:p w14:paraId="7C67B2DF" w14:textId="77777777" w:rsidR="0001065E" w:rsidRPr="00B70E1A" w:rsidRDefault="0001065E">
            <w:pPr>
              <w:pStyle w:val="Sinespaciado"/>
              <w:rPr>
                <w:color w:val="auto"/>
                <w:sz w:val="16"/>
                <w:szCs w:val="16"/>
                <w:lang w:val="es-ES_tradnl"/>
              </w:rPr>
            </w:pPr>
          </w:p>
        </w:tc>
        <w:tc>
          <w:tcPr>
            <w:tcW w:w="141" w:type="dxa"/>
            <w:shd w:val="clear" w:color="auto" w:fill="auto"/>
          </w:tcPr>
          <w:p w14:paraId="31460927" w14:textId="77777777" w:rsidR="0001065E" w:rsidRPr="00B70E1A" w:rsidRDefault="0001065E">
            <w:pPr>
              <w:pStyle w:val="Sinespaciado"/>
              <w:rPr>
                <w:color w:val="auto"/>
                <w:sz w:val="24"/>
                <w:szCs w:val="24"/>
                <w:lang w:val="es-ES_tradnl"/>
              </w:rPr>
            </w:pPr>
          </w:p>
        </w:tc>
        <w:tc>
          <w:tcPr>
            <w:tcW w:w="3459" w:type="dxa"/>
            <w:tcBorders>
              <w:top w:val="single" w:sz="4" w:space="0" w:color="FFFFFF"/>
            </w:tcBorders>
            <w:shd w:val="clear" w:color="auto" w:fill="auto"/>
          </w:tcPr>
          <w:p w14:paraId="66D9E59F" w14:textId="77777777" w:rsidR="0001065E" w:rsidRPr="00B70E1A" w:rsidRDefault="0001065E">
            <w:pPr>
              <w:pStyle w:val="Sinespaciado"/>
              <w:rPr>
                <w:color w:val="auto"/>
                <w:sz w:val="24"/>
                <w:szCs w:val="24"/>
                <w:lang w:val="es-ES_tradnl"/>
              </w:rPr>
            </w:pPr>
          </w:p>
        </w:tc>
      </w:tr>
      <w:tr w:rsidR="00F94465" w:rsidRPr="00F94465" w14:paraId="6F3A778F" w14:textId="77777777" w:rsidTr="00913594">
        <w:trPr>
          <w:cantSplit/>
          <w:trHeight w:val="360"/>
          <w:jc w:val="center"/>
        </w:trPr>
        <w:tc>
          <w:tcPr>
            <w:tcW w:w="7523" w:type="dxa"/>
            <w:shd w:val="clear" w:color="auto" w:fill="FF0000"/>
            <w:tcMar>
              <w:left w:w="0" w:type="dxa"/>
              <w:right w:w="115" w:type="dxa"/>
            </w:tcMar>
            <w:vAlign w:val="center"/>
          </w:tcPr>
          <w:p w14:paraId="670200CF" w14:textId="008D273D" w:rsidR="0001065E" w:rsidRPr="00F94465" w:rsidRDefault="00841094" w:rsidP="00414E56">
            <w:pPr>
              <w:rPr>
                <w:lang w:val="es-CL"/>
              </w:rPr>
            </w:pPr>
            <w:r w:rsidRPr="00F94465">
              <w:rPr>
                <w:color w:val="FFFFFF" w:themeColor="background1"/>
                <w:lang w:val="es-CL"/>
              </w:rPr>
              <w:t xml:space="preserve">DEPARTAMENTO DE ESTUDIOS, EXTENSIÓN Y PUBLICACIONES / </w:t>
            </w:r>
            <w:r w:rsidR="00414E56">
              <w:rPr>
                <w:color w:val="FFFFFF" w:themeColor="background1"/>
                <w:lang w:val="es-CL"/>
              </w:rPr>
              <w:t>28 de abril de</w:t>
            </w:r>
            <w:r w:rsidR="00F94465" w:rsidRPr="00F94465">
              <w:rPr>
                <w:color w:val="FFFFFF" w:themeColor="background1"/>
                <w:lang w:val="es-CL"/>
              </w:rPr>
              <w:t xml:space="preserve"> 2017</w:t>
            </w:r>
          </w:p>
        </w:tc>
        <w:tc>
          <w:tcPr>
            <w:tcW w:w="141" w:type="dxa"/>
            <w:shd w:val="clear" w:color="auto" w:fill="auto"/>
            <w:tcMar>
              <w:left w:w="0" w:type="dxa"/>
              <w:right w:w="0" w:type="dxa"/>
            </w:tcMar>
            <w:vAlign w:val="center"/>
          </w:tcPr>
          <w:p w14:paraId="52E5EF99" w14:textId="77777777" w:rsidR="0001065E" w:rsidRPr="00B70E1A" w:rsidRDefault="0001065E">
            <w:pPr>
              <w:pStyle w:val="Sinespaciado"/>
              <w:rPr>
                <w:rFonts w:ascii="DejaVu Sans" w:hAnsi="DejaVu Sans" w:cs="DejaVu Sans"/>
                <w:color w:val="auto"/>
                <w:lang w:val="es-ES_tradnl"/>
              </w:rPr>
            </w:pPr>
          </w:p>
        </w:tc>
        <w:tc>
          <w:tcPr>
            <w:tcW w:w="3459" w:type="dxa"/>
            <w:shd w:val="clear" w:color="auto" w:fill="404040"/>
            <w:tcMar>
              <w:left w:w="0" w:type="dxa"/>
              <w:right w:w="115" w:type="dxa"/>
            </w:tcMar>
            <w:vAlign w:val="center"/>
          </w:tcPr>
          <w:p w14:paraId="5A2597B9" w14:textId="77777777" w:rsidR="0001065E" w:rsidRPr="00F94465" w:rsidRDefault="00841094" w:rsidP="001705FA">
            <w:pPr>
              <w:spacing w:after="0"/>
              <w:jc w:val="right"/>
              <w:rPr>
                <w:rFonts w:ascii="DejaVu Sans Condensed" w:hAnsi="DejaVu Sans Condensed" w:cs="DejaVu Sans Condensed"/>
                <w:color w:val="FFFFFF" w:themeColor="background1"/>
              </w:rPr>
            </w:pPr>
            <w:r w:rsidRPr="00F94465">
              <w:rPr>
                <w:rFonts w:ascii="DejaVu Sans Condensed" w:hAnsi="DejaVu Sans Condensed" w:cs="DejaVu Sans Condensed"/>
                <w:color w:val="FFFFFF" w:themeColor="background1"/>
              </w:rPr>
              <w:t>ASESORÍA TÉCNICA PARLAMENTARIA</w:t>
            </w:r>
          </w:p>
        </w:tc>
      </w:tr>
    </w:tbl>
    <w:p w14:paraId="3109A39C" w14:textId="27F65C55" w:rsidR="0001065E" w:rsidRPr="00B70E1A" w:rsidRDefault="0027226E">
      <w:pPr>
        <w:rPr>
          <w:rFonts w:ascii="Garamond" w:hAnsi="Garamond"/>
          <w:noProof/>
          <w:color w:val="auto"/>
          <w:lang w:val="es-ES_tradnl"/>
        </w:rPr>
        <w:sectPr w:rsidR="0001065E" w:rsidRPr="00B70E1A" w:rsidSect="00234582">
          <w:headerReference w:type="default" r:id="rId10"/>
          <w:headerReference w:type="first" r:id="rId11"/>
          <w:pgSz w:w="12240" w:h="15840" w:code="1"/>
          <w:pgMar w:top="851" w:right="851" w:bottom="851" w:left="851" w:header="360" w:footer="720" w:gutter="0"/>
          <w:cols w:space="720"/>
          <w:titlePg/>
          <w:docGrid w:linePitch="360"/>
        </w:sectPr>
      </w:pPr>
      <w:r w:rsidRPr="00B70E1A">
        <w:rPr>
          <w:noProof/>
          <w:color w:val="auto"/>
          <w:lang w:val="es-CL" w:eastAsia="es-CL"/>
        </w:rPr>
        <mc:AlternateContent>
          <mc:Choice Requires="wps">
            <w:drawing>
              <wp:anchor distT="0" distB="0" distL="114300" distR="114300" simplePos="0" relativeHeight="251657216" behindDoc="0" locked="0" layoutInCell="0" allowOverlap="1" wp14:anchorId="5F8E24AA" wp14:editId="6BA0E85B">
                <wp:simplePos x="0" y="0"/>
                <wp:positionH relativeFrom="margin">
                  <wp:posOffset>-8890</wp:posOffset>
                </wp:positionH>
                <wp:positionV relativeFrom="page">
                  <wp:posOffset>1632585</wp:posOffset>
                </wp:positionV>
                <wp:extent cx="4524375" cy="1744345"/>
                <wp:effectExtent l="0" t="0" r="9525" b="82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744345"/>
                        </a:xfrm>
                        <a:prstGeom prst="rect">
                          <a:avLst/>
                        </a:prstGeom>
                        <a:noFill/>
                        <a:ln w="6350">
                          <a:noFill/>
                        </a:ln>
                        <a:effectLst/>
                      </wps:spPr>
                      <wps:txbx>
                        <w:txbxContent>
                          <w:p w14:paraId="2E302682" w14:textId="761F8C41" w:rsidR="002C01EE" w:rsidRPr="007B4EED" w:rsidRDefault="002C01EE" w:rsidP="007B4EED">
                            <w:pPr>
                              <w:spacing w:after="0"/>
                              <w:jc w:val="both"/>
                              <w:rPr>
                                <w:rFonts w:ascii="DejaVu Serif" w:hAnsi="DejaVu Serif"/>
                                <w:b/>
                                <w:sz w:val="38"/>
                                <w:szCs w:val="38"/>
                                <w:lang w:val="es-CL"/>
                              </w:rPr>
                            </w:pPr>
                            <w:r w:rsidRPr="007B4EED">
                              <w:rPr>
                                <w:rFonts w:ascii="DejaVu Serif" w:hAnsi="DejaVu Serif"/>
                                <w:b/>
                                <w:sz w:val="38"/>
                                <w:szCs w:val="38"/>
                                <w:lang w:val="es-CL"/>
                              </w:rPr>
                              <w:t xml:space="preserve">Tribunal Constitucional y Sistema Interamericano de Derechos Humanos: Alcance del </w:t>
                            </w:r>
                            <w:r>
                              <w:rPr>
                                <w:rFonts w:ascii="DejaVu Serif" w:hAnsi="DejaVu Serif"/>
                                <w:b/>
                                <w:sz w:val="38"/>
                                <w:szCs w:val="38"/>
                                <w:lang w:val="es-CL"/>
                              </w:rPr>
                              <w:t>P</w:t>
                            </w:r>
                            <w:r w:rsidRPr="007B4EED">
                              <w:rPr>
                                <w:rFonts w:ascii="DejaVu Serif" w:hAnsi="DejaVu Serif"/>
                                <w:b/>
                                <w:sz w:val="38"/>
                                <w:szCs w:val="38"/>
                                <w:lang w:val="es-CL"/>
                              </w:rPr>
                              <w:t xml:space="preserve">rincipio de publicidad y del </w:t>
                            </w:r>
                            <w:r>
                              <w:rPr>
                                <w:rFonts w:ascii="DejaVu Serif" w:hAnsi="DejaVu Serif"/>
                                <w:b/>
                                <w:sz w:val="38"/>
                                <w:szCs w:val="38"/>
                                <w:lang w:val="es-CL"/>
                              </w:rPr>
                              <w:t>D</w:t>
                            </w:r>
                            <w:r w:rsidRPr="007B4EED">
                              <w:rPr>
                                <w:rFonts w:ascii="DejaVu Serif" w:hAnsi="DejaVu Serif"/>
                                <w:b/>
                                <w:sz w:val="38"/>
                                <w:szCs w:val="38"/>
                                <w:lang w:val="es-CL"/>
                              </w:rPr>
                              <w:t>erecho de acceso a la información pública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E24AA" id="_x0000_t202" coordsize="21600,21600" o:spt="202" path="m,l,21600r21600,l21600,xe">
                <v:stroke joinstyle="miter"/>
                <v:path gradientshapeok="t" o:connecttype="rect"/>
              </v:shapetype>
              <v:shape id="Text Box 5" o:spid="_x0000_s1026" type="#_x0000_t202" style="position:absolute;margin-left:-.7pt;margin-top:128.55pt;width:356.25pt;height:137.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" o:allowincell="f" filled="f" stroked="f" strokeweight=".5pt">
                <v:path arrowok="t"/>
                <v:textbox inset="0,0,0,0">
                  <w:txbxContent>
                    <w:p w14:paraId="2E302682" w14:textId="761F8C41" w:rsidR="002C01EE" w:rsidRPr="007B4EED" w:rsidRDefault="002C01EE" w:rsidP="007B4EED">
                      <w:pPr>
                        <w:spacing w:after="0"/>
                        <w:jc w:val="both"/>
                        <w:rPr>
                          <w:rFonts w:ascii="DejaVu Serif" w:hAnsi="DejaVu Serif"/>
                          <w:b/>
                          <w:sz w:val="38"/>
                          <w:szCs w:val="38"/>
                          <w:lang w:val="es-CL"/>
                        </w:rPr>
                      </w:pPr>
                      <w:r w:rsidRPr="007B4EED">
                        <w:rPr>
                          <w:rFonts w:ascii="DejaVu Serif" w:hAnsi="DejaVu Serif"/>
                          <w:b/>
                          <w:sz w:val="38"/>
                          <w:szCs w:val="38"/>
                          <w:lang w:val="es-CL"/>
                        </w:rPr>
                        <w:t xml:space="preserve">Tribunal Constitucional y Sistema Interamericano de Derechos Humanos: Alcance del </w:t>
                      </w:r>
                      <w:r>
                        <w:rPr>
                          <w:rFonts w:ascii="DejaVu Serif" w:hAnsi="DejaVu Serif"/>
                          <w:b/>
                          <w:sz w:val="38"/>
                          <w:szCs w:val="38"/>
                          <w:lang w:val="es-CL"/>
                        </w:rPr>
                        <w:t>P</w:t>
                      </w:r>
                      <w:r w:rsidRPr="007B4EED">
                        <w:rPr>
                          <w:rFonts w:ascii="DejaVu Serif" w:hAnsi="DejaVu Serif"/>
                          <w:b/>
                          <w:sz w:val="38"/>
                          <w:szCs w:val="38"/>
                          <w:lang w:val="es-CL"/>
                        </w:rPr>
                        <w:t xml:space="preserve">rincipio de publicidad y del </w:t>
                      </w:r>
                      <w:r>
                        <w:rPr>
                          <w:rFonts w:ascii="DejaVu Serif" w:hAnsi="DejaVu Serif"/>
                          <w:b/>
                          <w:sz w:val="38"/>
                          <w:szCs w:val="38"/>
                          <w:lang w:val="es-CL"/>
                        </w:rPr>
                        <w:t>D</w:t>
                      </w:r>
                      <w:r w:rsidRPr="007B4EED">
                        <w:rPr>
                          <w:rFonts w:ascii="DejaVu Serif" w:hAnsi="DejaVu Serif"/>
                          <w:b/>
                          <w:sz w:val="38"/>
                          <w:szCs w:val="38"/>
                          <w:lang w:val="es-CL"/>
                        </w:rPr>
                        <w:t>erecho de acceso a la información pública</w:t>
                      </w:r>
                    </w:p>
                  </w:txbxContent>
                </v:textbox>
                <w10:wrap type="square" anchorx="margin" anchory="page"/>
              </v:shape>
            </w:pict>
          </mc:Fallback>
        </mc:AlternateContent>
      </w:r>
    </w:p>
    <w:p w14:paraId="2036DE6C" w14:textId="7E58592F" w:rsidR="002E373D" w:rsidRPr="007B4EED" w:rsidRDefault="002E373D" w:rsidP="00C21635">
      <w:pPr>
        <w:pStyle w:val="Normal1"/>
        <w:shd w:val="clear" w:color="auto" w:fill="FFFFFF"/>
        <w:tabs>
          <w:tab w:val="left" w:pos="0"/>
          <w:tab w:val="left" w:pos="2835"/>
        </w:tabs>
        <w:jc w:val="both"/>
        <w:rPr>
          <w:rFonts w:ascii="DejaVu Serif" w:hAnsi="DejaVu Serif"/>
          <w:color w:val="auto"/>
          <w:sz w:val="19"/>
          <w:szCs w:val="19"/>
        </w:rPr>
      </w:pPr>
      <w:r w:rsidRPr="007B4EED">
        <w:rPr>
          <w:rFonts w:ascii="DejaVu Serif" w:hAnsi="DejaVu Serif"/>
          <w:color w:val="auto"/>
          <w:sz w:val="19"/>
          <w:szCs w:val="19"/>
        </w:rPr>
        <w:t xml:space="preserve">Siete sentencias del Tribunal Constitucional, </w:t>
      </w:r>
      <w:r w:rsidRPr="007B4EED">
        <w:rPr>
          <w:rFonts w:ascii="DejaVu Serif" w:eastAsia="EB Garamond" w:hAnsi="DejaVu Serif"/>
          <w:color w:val="auto"/>
          <w:sz w:val="19"/>
          <w:szCs w:val="19"/>
        </w:rPr>
        <w:t xml:space="preserve">han establecido que  el principio de publicidad de la </w:t>
      </w:r>
      <w:r w:rsidR="006F1E40" w:rsidRPr="007B4EED">
        <w:rPr>
          <w:rFonts w:ascii="DejaVu Serif" w:eastAsia="EB Garamond" w:hAnsi="DejaVu Serif"/>
          <w:color w:val="auto"/>
          <w:sz w:val="19"/>
          <w:szCs w:val="19"/>
        </w:rPr>
        <w:t>Constitución Política</w:t>
      </w:r>
      <w:r w:rsidRPr="007B4EED">
        <w:rPr>
          <w:rFonts w:ascii="DejaVu Serif" w:eastAsia="EB Garamond" w:hAnsi="DejaVu Serif"/>
          <w:color w:val="auto"/>
          <w:sz w:val="19"/>
          <w:szCs w:val="19"/>
        </w:rPr>
        <w:t xml:space="preserve"> se refiere solamente a los actos, resoluciones de los órganos del Estado, sus fundamentos y procedimientos, en ningún caso a información que obre en poder de la Administración o que ha sido elaborada con presupuesto público, tal como lo dispone el inciso segundo del artículo 5° de la Ley N° 20.285</w:t>
      </w:r>
      <w:r w:rsidR="00F83085" w:rsidRPr="007B4EED">
        <w:rPr>
          <w:rFonts w:ascii="DejaVu Serif" w:hAnsi="DejaVu Serif" w:cs="DejaVu Sans Condensed"/>
          <w:noProof/>
          <w:color w:val="auto"/>
          <w:sz w:val="19"/>
          <w:szCs w:val="19"/>
          <w:lang w:val="es-ES_tradnl"/>
        </w:rPr>
        <w:t xml:space="preserve"> sobre acceso a la información pública</w:t>
      </w:r>
      <w:r w:rsidRPr="007B4EED">
        <w:rPr>
          <w:rFonts w:ascii="DejaVu Serif" w:eastAsia="EB Garamond" w:hAnsi="DejaVu Serif"/>
          <w:color w:val="auto"/>
          <w:sz w:val="19"/>
          <w:szCs w:val="19"/>
        </w:rPr>
        <w:t xml:space="preserve">. Asimismo, </w:t>
      </w:r>
      <w:r w:rsidR="006F1E40" w:rsidRPr="007B4EED">
        <w:rPr>
          <w:rFonts w:ascii="DejaVu Serif" w:eastAsia="EB Garamond" w:hAnsi="DejaVu Serif"/>
          <w:color w:val="auto"/>
          <w:sz w:val="19"/>
          <w:szCs w:val="19"/>
        </w:rPr>
        <w:t>ha</w:t>
      </w:r>
      <w:r w:rsidR="009974A8" w:rsidRPr="007B4EED">
        <w:rPr>
          <w:rFonts w:ascii="DejaVu Serif" w:eastAsia="EB Garamond" w:hAnsi="DejaVu Serif"/>
          <w:color w:val="auto"/>
          <w:sz w:val="19"/>
          <w:szCs w:val="19"/>
        </w:rPr>
        <w:t>n</w:t>
      </w:r>
      <w:r w:rsidR="006F1E40" w:rsidRPr="007B4EED">
        <w:rPr>
          <w:rFonts w:ascii="DejaVu Serif" w:eastAsia="EB Garamond" w:hAnsi="DejaVu Serif"/>
          <w:color w:val="auto"/>
          <w:sz w:val="19"/>
          <w:szCs w:val="19"/>
        </w:rPr>
        <w:t xml:space="preserve"> planteado</w:t>
      </w:r>
      <w:r w:rsidRPr="007B4EED">
        <w:rPr>
          <w:rFonts w:ascii="DejaVu Serif" w:eastAsia="EB Garamond" w:hAnsi="DejaVu Serif"/>
          <w:color w:val="auto"/>
          <w:sz w:val="19"/>
          <w:szCs w:val="19"/>
        </w:rPr>
        <w:t xml:space="preserve"> que el derecho de acceso a la información pública, </w:t>
      </w:r>
      <w:r w:rsidR="006F1E40" w:rsidRPr="007B4EED">
        <w:rPr>
          <w:rFonts w:ascii="DejaVu Serif" w:eastAsia="EB Garamond" w:hAnsi="DejaVu Serif"/>
          <w:color w:val="auto"/>
          <w:sz w:val="19"/>
          <w:szCs w:val="19"/>
        </w:rPr>
        <w:t xml:space="preserve">no se encuentra </w:t>
      </w:r>
      <w:r w:rsidRPr="007B4EED">
        <w:rPr>
          <w:rFonts w:ascii="DejaVu Serif" w:eastAsia="EB Garamond" w:hAnsi="DejaVu Serif"/>
          <w:color w:val="auto"/>
          <w:sz w:val="19"/>
          <w:szCs w:val="19"/>
        </w:rPr>
        <w:t>en el artículo 8°</w:t>
      </w:r>
      <w:r w:rsidR="006F1E40" w:rsidRPr="007B4EED">
        <w:rPr>
          <w:rFonts w:ascii="DejaVu Serif" w:eastAsia="EB Garamond" w:hAnsi="DejaVu Serif"/>
          <w:color w:val="auto"/>
          <w:sz w:val="19"/>
          <w:szCs w:val="19"/>
        </w:rPr>
        <w:t xml:space="preserve"> de la Constitución</w:t>
      </w:r>
      <w:r w:rsidRPr="007B4EED">
        <w:rPr>
          <w:rFonts w:ascii="DejaVu Serif" w:eastAsia="EB Garamond" w:hAnsi="DejaVu Serif"/>
          <w:color w:val="auto"/>
          <w:sz w:val="19"/>
          <w:szCs w:val="19"/>
        </w:rPr>
        <w:t>, sino que podría encontrársele implícito en el artículo</w:t>
      </w:r>
      <w:r w:rsidRPr="007B4EED">
        <w:rPr>
          <w:rFonts w:ascii="DejaVu Serif" w:hAnsi="DejaVu Serif"/>
          <w:color w:val="auto"/>
          <w:sz w:val="19"/>
          <w:szCs w:val="19"/>
        </w:rPr>
        <w:t xml:space="preserve"> 19 N°12°</w:t>
      </w:r>
      <w:r w:rsidR="006F1E40" w:rsidRPr="007B4EED">
        <w:rPr>
          <w:rFonts w:ascii="DejaVu Serif" w:hAnsi="DejaVu Serif"/>
          <w:color w:val="auto"/>
          <w:sz w:val="19"/>
          <w:szCs w:val="19"/>
        </w:rPr>
        <w:t>.</w:t>
      </w:r>
    </w:p>
    <w:p w14:paraId="24938C8C" w14:textId="77777777" w:rsidR="006F1E40" w:rsidRPr="007B4EED" w:rsidRDefault="006F1E40" w:rsidP="00C21635">
      <w:pPr>
        <w:pStyle w:val="Normal1"/>
        <w:shd w:val="clear" w:color="auto" w:fill="FFFFFF"/>
        <w:tabs>
          <w:tab w:val="left" w:pos="0"/>
          <w:tab w:val="left" w:pos="2835"/>
        </w:tabs>
        <w:jc w:val="both"/>
        <w:rPr>
          <w:rFonts w:ascii="DejaVu Serif" w:hAnsi="DejaVu Serif"/>
          <w:color w:val="auto"/>
          <w:sz w:val="19"/>
          <w:szCs w:val="19"/>
        </w:rPr>
      </w:pPr>
    </w:p>
    <w:p w14:paraId="0A555913" w14:textId="6A50F502" w:rsidR="001C6080" w:rsidRPr="007B4EED" w:rsidRDefault="001C6080" w:rsidP="00C21635">
      <w:pPr>
        <w:spacing w:after="0"/>
        <w:jc w:val="both"/>
        <w:rPr>
          <w:rFonts w:ascii="DejaVu Serif" w:hAnsi="DejaVu Serif"/>
          <w:sz w:val="19"/>
          <w:szCs w:val="19"/>
          <w:lang w:val="es-CL"/>
        </w:rPr>
      </w:pPr>
      <w:r w:rsidRPr="007B4EED">
        <w:rPr>
          <w:rFonts w:ascii="DejaVu Serif" w:hAnsi="DejaVu Serif"/>
          <w:sz w:val="19"/>
          <w:szCs w:val="19"/>
          <w:lang w:val="es-CL"/>
        </w:rPr>
        <w:t>Asimismo, el Tribunal</w:t>
      </w:r>
      <w:r w:rsidR="009974A8" w:rsidRPr="007B4EED">
        <w:rPr>
          <w:rFonts w:ascii="DejaVu Serif" w:hAnsi="DejaVu Serif"/>
          <w:sz w:val="19"/>
          <w:szCs w:val="19"/>
          <w:lang w:val="es-CL"/>
        </w:rPr>
        <w:t xml:space="preserve"> Constitucional</w:t>
      </w:r>
      <w:r w:rsidRPr="007B4EED">
        <w:rPr>
          <w:rFonts w:ascii="DejaVu Serif" w:hAnsi="DejaVu Serif"/>
          <w:sz w:val="19"/>
          <w:szCs w:val="19"/>
          <w:lang w:val="es-CL"/>
        </w:rPr>
        <w:t xml:space="preserve"> ha aclarado que el principio de publicidad no es la única finalidad de la Administración</w:t>
      </w:r>
      <w:r w:rsidR="009974A8" w:rsidRPr="007B4EED">
        <w:rPr>
          <w:rFonts w:ascii="DejaVu Serif" w:hAnsi="DejaVu Serif"/>
          <w:sz w:val="19"/>
          <w:szCs w:val="19"/>
          <w:lang w:val="es-CL"/>
        </w:rPr>
        <w:t>, la que</w:t>
      </w:r>
      <w:r w:rsidRPr="007B4EED">
        <w:rPr>
          <w:rFonts w:ascii="DejaVu Serif" w:hAnsi="DejaVu Serif"/>
          <w:sz w:val="19"/>
          <w:szCs w:val="19"/>
          <w:lang w:val="es-CL"/>
        </w:rPr>
        <w:t xml:space="preserve"> debe observar una serie de</w:t>
      </w:r>
      <w:r w:rsidR="009974A8" w:rsidRPr="007B4EED">
        <w:rPr>
          <w:rFonts w:ascii="DejaVu Serif" w:hAnsi="DejaVu Serif"/>
          <w:sz w:val="19"/>
          <w:szCs w:val="19"/>
          <w:lang w:val="es-CL"/>
        </w:rPr>
        <w:t xml:space="preserve"> otros</w:t>
      </w:r>
      <w:r w:rsidRPr="007B4EED">
        <w:rPr>
          <w:rFonts w:ascii="DejaVu Serif" w:hAnsi="DejaVu Serif"/>
          <w:sz w:val="19"/>
          <w:szCs w:val="19"/>
          <w:lang w:val="es-CL"/>
        </w:rPr>
        <w:t xml:space="preserve"> principios</w:t>
      </w:r>
      <w:r w:rsidR="009974A8" w:rsidRPr="007B4EED">
        <w:rPr>
          <w:rFonts w:ascii="DejaVu Serif" w:hAnsi="DejaVu Serif"/>
          <w:sz w:val="19"/>
          <w:szCs w:val="19"/>
          <w:lang w:val="es-CL"/>
        </w:rPr>
        <w:t>, por ejemplo,</w:t>
      </w:r>
      <w:r w:rsidRPr="007B4EED">
        <w:rPr>
          <w:rFonts w:ascii="DejaVu Serif" w:hAnsi="DejaVu Serif"/>
          <w:sz w:val="19"/>
          <w:szCs w:val="19"/>
          <w:lang w:val="es-CL"/>
        </w:rPr>
        <w:t xml:space="preserve"> la participación</w:t>
      </w:r>
      <w:r w:rsidR="009974A8" w:rsidRPr="007B4EED">
        <w:rPr>
          <w:rFonts w:ascii="DejaVu Serif" w:hAnsi="DejaVu Serif"/>
          <w:sz w:val="19"/>
          <w:szCs w:val="19"/>
          <w:lang w:val="es-CL"/>
        </w:rPr>
        <w:t>, la eficiencia y</w:t>
      </w:r>
      <w:r w:rsidRPr="007B4EED">
        <w:rPr>
          <w:rFonts w:ascii="DejaVu Serif" w:hAnsi="DejaVu Serif"/>
          <w:sz w:val="19"/>
          <w:szCs w:val="19"/>
          <w:lang w:val="es-CL"/>
        </w:rPr>
        <w:t xml:space="preserve"> la eficacia de su actuación. </w:t>
      </w:r>
    </w:p>
    <w:p w14:paraId="3027029A" w14:textId="77777777" w:rsidR="009974A8" w:rsidRPr="007B4EED" w:rsidRDefault="009974A8" w:rsidP="00C21635">
      <w:pPr>
        <w:spacing w:after="0"/>
        <w:jc w:val="both"/>
        <w:rPr>
          <w:rFonts w:ascii="DejaVu Serif" w:hAnsi="DejaVu Serif"/>
          <w:sz w:val="19"/>
          <w:szCs w:val="19"/>
          <w:lang w:val="es-CL"/>
        </w:rPr>
      </w:pPr>
    </w:p>
    <w:p w14:paraId="65FDD664" w14:textId="0C74CE26" w:rsidR="001C6080" w:rsidRPr="007B4EED" w:rsidRDefault="001C6080" w:rsidP="00C21635">
      <w:pPr>
        <w:pStyle w:val="Normal1"/>
        <w:shd w:val="clear" w:color="auto" w:fill="FFFFFF"/>
        <w:tabs>
          <w:tab w:val="left" w:pos="0"/>
          <w:tab w:val="left" w:pos="2835"/>
        </w:tabs>
        <w:jc w:val="both"/>
        <w:rPr>
          <w:rFonts w:ascii="DejaVu Serif" w:hAnsi="DejaVu Serif"/>
          <w:color w:val="auto"/>
          <w:sz w:val="19"/>
          <w:szCs w:val="19"/>
        </w:rPr>
      </w:pPr>
      <w:r w:rsidRPr="007B4EED">
        <w:rPr>
          <w:rFonts w:ascii="DejaVu Serif" w:hAnsi="DejaVu Serif"/>
          <w:color w:val="auto"/>
          <w:sz w:val="19"/>
          <w:szCs w:val="19"/>
        </w:rPr>
        <w:t xml:space="preserve">De la misma manera, el Tribunal Constitucional señaló que </w:t>
      </w:r>
      <w:r w:rsidR="00F83085" w:rsidRPr="007B4EED">
        <w:rPr>
          <w:rFonts w:ascii="DejaVu Serif" w:hAnsi="DejaVu Serif"/>
          <w:color w:val="auto"/>
          <w:sz w:val="19"/>
          <w:szCs w:val="19"/>
        </w:rPr>
        <w:t>atendido que n</w:t>
      </w:r>
      <w:r w:rsidRPr="007B4EED">
        <w:rPr>
          <w:rFonts w:ascii="DejaVu Serif" w:hAnsi="DejaVu Serif"/>
          <w:color w:val="auto"/>
          <w:sz w:val="19"/>
          <w:szCs w:val="19"/>
        </w:rPr>
        <w:t>o toda información es pública</w:t>
      </w:r>
      <w:r w:rsidR="00F83085" w:rsidRPr="007B4EED">
        <w:rPr>
          <w:rFonts w:ascii="DejaVu Serif" w:hAnsi="DejaVu Serif"/>
          <w:color w:val="auto"/>
          <w:sz w:val="19"/>
          <w:szCs w:val="19"/>
        </w:rPr>
        <w:t>,</w:t>
      </w:r>
      <w:r w:rsidRPr="007B4EED">
        <w:rPr>
          <w:rFonts w:ascii="DejaVu Serif" w:hAnsi="DejaVu Serif"/>
          <w:color w:val="auto"/>
          <w:sz w:val="19"/>
          <w:szCs w:val="19"/>
        </w:rPr>
        <w:t xml:space="preserve"> todo exceso en ese espacio normativo, es una infracción constitucional, es decir un vicio en el actuar de los ó</w:t>
      </w:r>
      <w:r w:rsidR="00F83085" w:rsidRPr="007B4EED">
        <w:rPr>
          <w:rFonts w:ascii="DejaVu Serif" w:hAnsi="DejaVu Serif"/>
          <w:color w:val="auto"/>
          <w:sz w:val="19"/>
          <w:szCs w:val="19"/>
        </w:rPr>
        <w:t>r</w:t>
      </w:r>
      <w:r w:rsidRPr="007B4EED">
        <w:rPr>
          <w:rFonts w:ascii="DejaVu Serif" w:hAnsi="DejaVu Serif"/>
          <w:color w:val="auto"/>
          <w:sz w:val="19"/>
          <w:szCs w:val="19"/>
        </w:rPr>
        <w:t xml:space="preserve">ganos de la administración, un </w:t>
      </w:r>
      <w:r w:rsidRPr="007B4EED">
        <w:rPr>
          <w:rFonts w:ascii="DejaVu Serif" w:hAnsi="DejaVu Serif"/>
          <w:iCs/>
          <w:color w:val="auto"/>
          <w:sz w:val="19"/>
          <w:szCs w:val="19"/>
        </w:rPr>
        <w:t>abuso o exceso en el ejercicio de sus potestades</w:t>
      </w:r>
      <w:r w:rsidRPr="007B4EED">
        <w:rPr>
          <w:rFonts w:ascii="DejaVu Serif" w:hAnsi="DejaVu Serif"/>
          <w:color w:val="auto"/>
          <w:sz w:val="19"/>
          <w:szCs w:val="19"/>
        </w:rPr>
        <w:t xml:space="preserve">. </w:t>
      </w:r>
    </w:p>
    <w:p w14:paraId="094A8C5E" w14:textId="77777777" w:rsidR="002E373D" w:rsidRPr="007B4EED" w:rsidRDefault="002E373D" w:rsidP="00C21635">
      <w:pPr>
        <w:pStyle w:val="Normal1"/>
        <w:shd w:val="clear" w:color="auto" w:fill="FFFFFF"/>
        <w:tabs>
          <w:tab w:val="left" w:pos="0"/>
          <w:tab w:val="left" w:pos="2835"/>
        </w:tabs>
        <w:jc w:val="both"/>
        <w:rPr>
          <w:rFonts w:ascii="DejaVu Serif" w:hAnsi="DejaVu Serif"/>
          <w:color w:val="auto"/>
          <w:sz w:val="19"/>
          <w:szCs w:val="19"/>
        </w:rPr>
      </w:pPr>
    </w:p>
    <w:p w14:paraId="2328364E" w14:textId="445EA7CE" w:rsidR="002E373D" w:rsidRPr="007B4EED" w:rsidRDefault="002E373D" w:rsidP="00C21635">
      <w:pPr>
        <w:spacing w:after="0"/>
        <w:jc w:val="both"/>
        <w:rPr>
          <w:rFonts w:ascii="DejaVu Serif" w:hAnsi="DejaVu Serif"/>
          <w:color w:val="auto"/>
          <w:sz w:val="19"/>
          <w:szCs w:val="19"/>
          <w:lang w:val="es-CL"/>
        </w:rPr>
      </w:pPr>
      <w:r w:rsidRPr="007B4EED">
        <w:rPr>
          <w:rFonts w:ascii="DejaVu Serif" w:hAnsi="DejaVu Serif"/>
          <w:color w:val="auto"/>
          <w:sz w:val="19"/>
          <w:szCs w:val="19"/>
          <w:lang w:val="es-CL"/>
        </w:rPr>
        <w:t>Por su parte, en el Sistema Interamericano de Derechos Humanos, el</w:t>
      </w:r>
      <w:r w:rsidR="00773EF2" w:rsidRPr="007B4EED">
        <w:rPr>
          <w:rFonts w:ascii="DejaVu Serif" w:hAnsi="DejaVu Serif"/>
          <w:color w:val="auto"/>
          <w:sz w:val="19"/>
          <w:szCs w:val="19"/>
          <w:lang w:val="es-CL"/>
        </w:rPr>
        <w:t xml:space="preserve"> acceso a la información pública</w:t>
      </w:r>
      <w:r w:rsidR="00F83085" w:rsidRPr="007B4EED">
        <w:rPr>
          <w:rFonts w:ascii="DejaVu Serif" w:hAnsi="DejaVu Serif"/>
          <w:color w:val="auto"/>
          <w:sz w:val="19"/>
          <w:szCs w:val="19"/>
          <w:lang w:val="es-CL"/>
        </w:rPr>
        <w:t xml:space="preserve">, </w:t>
      </w:r>
      <w:r w:rsidR="007B4EED" w:rsidRPr="007B4EED">
        <w:rPr>
          <w:rFonts w:ascii="DejaVu Serif" w:hAnsi="DejaVu Serif"/>
          <w:color w:val="auto"/>
          <w:sz w:val="19"/>
          <w:szCs w:val="19"/>
          <w:lang w:val="es-CL"/>
        </w:rPr>
        <w:t>en los</w:t>
      </w:r>
      <w:r w:rsidRPr="007B4EED">
        <w:rPr>
          <w:rFonts w:ascii="DejaVu Serif" w:hAnsi="DejaVu Serif"/>
          <w:color w:val="auto"/>
          <w:sz w:val="19"/>
          <w:szCs w:val="19"/>
          <w:lang w:val="es-CL"/>
        </w:rPr>
        <w:t xml:space="preserve"> </w:t>
      </w:r>
      <w:r w:rsidR="007B4EED" w:rsidRPr="007B4EED">
        <w:rPr>
          <w:rFonts w:ascii="DejaVu Serif" w:hAnsi="DejaVu Serif"/>
          <w:color w:val="auto"/>
          <w:sz w:val="19"/>
          <w:szCs w:val="19"/>
          <w:lang w:val="es-CL"/>
        </w:rPr>
        <w:t>Instrumentos de Derechos Humanos</w:t>
      </w:r>
      <w:r w:rsidR="00F83085" w:rsidRPr="007B4EED">
        <w:rPr>
          <w:rFonts w:ascii="DejaVu Serif" w:hAnsi="DejaVu Serif"/>
          <w:color w:val="auto"/>
          <w:sz w:val="19"/>
          <w:szCs w:val="19"/>
          <w:lang w:val="es-CL"/>
        </w:rPr>
        <w:t xml:space="preserve"> se manifiesta en</w:t>
      </w:r>
      <w:r w:rsidRPr="007B4EED">
        <w:rPr>
          <w:rFonts w:ascii="DejaVu Serif" w:hAnsi="DejaVu Serif"/>
          <w:color w:val="auto"/>
          <w:sz w:val="19"/>
          <w:szCs w:val="19"/>
          <w:lang w:val="es-CL"/>
        </w:rPr>
        <w:t xml:space="preserve"> </w:t>
      </w:r>
      <w:r w:rsidR="002853F5" w:rsidRPr="007B4EED">
        <w:rPr>
          <w:rFonts w:ascii="DejaVu Serif" w:hAnsi="DejaVu Serif"/>
          <w:color w:val="auto"/>
          <w:sz w:val="19"/>
          <w:szCs w:val="19"/>
          <w:lang w:val="es-CL"/>
        </w:rPr>
        <w:t>los</w:t>
      </w:r>
      <w:r w:rsidRPr="007B4EED">
        <w:rPr>
          <w:rFonts w:ascii="DejaVu Serif" w:hAnsi="DejaVu Serif"/>
          <w:color w:val="auto"/>
          <w:sz w:val="19"/>
          <w:szCs w:val="19"/>
          <w:lang w:val="es-CL"/>
        </w:rPr>
        <w:t xml:space="preserve"> derecho</w:t>
      </w:r>
      <w:r w:rsidR="002853F5" w:rsidRPr="007B4EED">
        <w:rPr>
          <w:rFonts w:ascii="DejaVu Serif" w:hAnsi="DejaVu Serif"/>
          <w:color w:val="auto"/>
          <w:sz w:val="19"/>
          <w:szCs w:val="19"/>
          <w:lang w:val="es-CL"/>
        </w:rPr>
        <w:t>s</w:t>
      </w:r>
      <w:r w:rsidRPr="007B4EED">
        <w:rPr>
          <w:rFonts w:ascii="DejaVu Serif" w:hAnsi="DejaVu Serif"/>
          <w:color w:val="auto"/>
          <w:sz w:val="19"/>
          <w:szCs w:val="19"/>
          <w:lang w:val="es-CL"/>
        </w:rPr>
        <w:t xml:space="preserve"> </w:t>
      </w:r>
      <w:r w:rsidR="002853F5" w:rsidRPr="007B4EED">
        <w:rPr>
          <w:rFonts w:ascii="DejaVu Serif" w:hAnsi="DejaVu Serif"/>
          <w:color w:val="auto"/>
          <w:sz w:val="19"/>
          <w:szCs w:val="19"/>
          <w:lang w:val="es-CL"/>
        </w:rPr>
        <w:t>de</w:t>
      </w:r>
      <w:r w:rsidRPr="007B4EED">
        <w:rPr>
          <w:rFonts w:ascii="DejaVu Serif" w:hAnsi="DejaVu Serif"/>
          <w:color w:val="auto"/>
          <w:sz w:val="19"/>
          <w:szCs w:val="19"/>
          <w:lang w:val="es-CL"/>
        </w:rPr>
        <w:t xml:space="preserve"> buscar y </w:t>
      </w:r>
      <w:r w:rsidR="002853F5" w:rsidRPr="007B4EED">
        <w:rPr>
          <w:rFonts w:ascii="DejaVu Serif" w:hAnsi="DejaVu Serif"/>
          <w:color w:val="auto"/>
          <w:sz w:val="19"/>
          <w:szCs w:val="19"/>
          <w:lang w:val="es-CL"/>
        </w:rPr>
        <w:t>de</w:t>
      </w:r>
      <w:r w:rsidRPr="007B4EED">
        <w:rPr>
          <w:rFonts w:ascii="DejaVu Serif" w:hAnsi="DejaVu Serif"/>
          <w:color w:val="auto"/>
          <w:sz w:val="19"/>
          <w:szCs w:val="19"/>
          <w:lang w:val="es-CL"/>
        </w:rPr>
        <w:t xml:space="preserve"> recibir información</w:t>
      </w:r>
      <w:r w:rsidR="00F83085" w:rsidRPr="007B4EED">
        <w:rPr>
          <w:rFonts w:ascii="DejaVu Serif" w:hAnsi="DejaVu Serif"/>
          <w:color w:val="auto"/>
          <w:sz w:val="19"/>
          <w:szCs w:val="19"/>
          <w:lang w:val="es-CL"/>
        </w:rPr>
        <w:t>. Éstos,</w:t>
      </w:r>
      <w:r w:rsidRPr="007B4EED">
        <w:rPr>
          <w:rFonts w:ascii="DejaVu Serif" w:hAnsi="DejaVu Serif"/>
          <w:color w:val="auto"/>
          <w:sz w:val="19"/>
          <w:szCs w:val="19"/>
          <w:lang w:val="es-CL"/>
        </w:rPr>
        <w:t xml:space="preserve"> ha</w:t>
      </w:r>
      <w:r w:rsidR="002853F5" w:rsidRPr="007B4EED">
        <w:rPr>
          <w:rFonts w:ascii="DejaVu Serif" w:hAnsi="DejaVu Serif"/>
          <w:color w:val="auto"/>
          <w:sz w:val="19"/>
          <w:szCs w:val="19"/>
          <w:lang w:val="es-CL"/>
        </w:rPr>
        <w:t>n</w:t>
      </w:r>
      <w:r w:rsidRPr="007B4EED">
        <w:rPr>
          <w:rFonts w:ascii="DejaVu Serif" w:hAnsi="DejaVu Serif"/>
          <w:color w:val="auto"/>
          <w:sz w:val="19"/>
          <w:szCs w:val="19"/>
          <w:lang w:val="es-CL"/>
        </w:rPr>
        <w:t xml:space="preserve"> derivado, en </w:t>
      </w:r>
      <w:r w:rsidR="00F83085" w:rsidRPr="007B4EED">
        <w:rPr>
          <w:rFonts w:ascii="DejaVu Serif" w:hAnsi="DejaVu Serif"/>
          <w:color w:val="auto"/>
          <w:sz w:val="19"/>
          <w:szCs w:val="19"/>
          <w:lang w:val="es-CL"/>
        </w:rPr>
        <w:t>el</w:t>
      </w:r>
      <w:r w:rsidRPr="007B4EED">
        <w:rPr>
          <w:rFonts w:ascii="DejaVu Serif" w:hAnsi="DejaVu Serif"/>
          <w:color w:val="auto"/>
          <w:sz w:val="19"/>
          <w:szCs w:val="19"/>
          <w:lang w:val="es-CL"/>
        </w:rPr>
        <w:t xml:space="preserve"> derecho de acceso a la información de carácter amplio</w:t>
      </w:r>
      <w:r w:rsidR="00773EF2" w:rsidRPr="007B4EED">
        <w:rPr>
          <w:rFonts w:ascii="DejaVu Serif" w:hAnsi="DejaVu Serif"/>
          <w:color w:val="auto"/>
          <w:sz w:val="19"/>
          <w:szCs w:val="19"/>
          <w:lang w:val="es-CL"/>
        </w:rPr>
        <w:t xml:space="preserve"> y que </w:t>
      </w:r>
      <w:r w:rsidRPr="007B4EED">
        <w:rPr>
          <w:rFonts w:ascii="DejaVu Serif" w:hAnsi="DejaVu Serif"/>
          <w:color w:val="auto"/>
          <w:sz w:val="19"/>
          <w:szCs w:val="19"/>
          <w:lang w:val="es-CL"/>
        </w:rPr>
        <w:t>debe aplicarse con una lógica de máxima divulgación de la información que los órganos públicos posean, custodien o controlen, en cualquier formato o medio. Asimismo, el universo de</w:t>
      </w:r>
      <w:r w:rsidR="007B4EED" w:rsidRPr="007B4EED">
        <w:rPr>
          <w:rFonts w:ascii="DejaVu Serif" w:hAnsi="DejaVu Serif"/>
          <w:color w:val="auto"/>
          <w:sz w:val="19"/>
          <w:szCs w:val="19"/>
          <w:lang w:val="es-CL"/>
        </w:rPr>
        <w:t xml:space="preserve"> dichos</w:t>
      </w:r>
      <w:r w:rsidRPr="007B4EED">
        <w:rPr>
          <w:rFonts w:ascii="DejaVu Serif" w:hAnsi="DejaVu Serif"/>
          <w:color w:val="auto"/>
          <w:sz w:val="19"/>
          <w:szCs w:val="19"/>
          <w:lang w:val="es-CL"/>
        </w:rPr>
        <w:t xml:space="preserve"> órganos es amplio, </w:t>
      </w:r>
      <w:r w:rsidR="007B4EED" w:rsidRPr="007B4EED">
        <w:rPr>
          <w:rFonts w:ascii="DejaVu Serif" w:hAnsi="DejaVu Serif"/>
          <w:color w:val="auto"/>
          <w:sz w:val="19"/>
          <w:szCs w:val="19"/>
          <w:lang w:val="es-CL"/>
        </w:rPr>
        <w:t>incluyendo</w:t>
      </w:r>
      <w:r w:rsidRPr="007B4EED">
        <w:rPr>
          <w:rFonts w:ascii="DejaVu Serif" w:hAnsi="DejaVu Serif"/>
          <w:color w:val="auto"/>
          <w:sz w:val="19"/>
          <w:szCs w:val="19"/>
          <w:lang w:val="es-CL"/>
        </w:rPr>
        <w:t xml:space="preserve"> todos los poderes del Estado, a todos los niveles de la estructura gubernamental, a las entidades autónomas del Gobierno o controladas por éste e incluso a los privados que reciben fondos o beneficios públicos sustanciales.</w:t>
      </w:r>
    </w:p>
    <w:p w14:paraId="38446EB4" w14:textId="77777777" w:rsidR="00F83085" w:rsidRPr="007B4EED" w:rsidRDefault="00F83085" w:rsidP="00C21635">
      <w:pPr>
        <w:spacing w:after="0"/>
        <w:jc w:val="both"/>
        <w:rPr>
          <w:rFonts w:ascii="DejaVu Serif" w:hAnsi="DejaVu Serif" w:cs="DejaVu Sans Condensed"/>
          <w:noProof/>
          <w:color w:val="auto"/>
          <w:sz w:val="19"/>
          <w:szCs w:val="19"/>
          <w:lang w:val="es-ES_tradnl"/>
        </w:rPr>
      </w:pPr>
    </w:p>
    <w:p w14:paraId="6808BF48" w14:textId="2BA10D7E" w:rsidR="00D24069" w:rsidRPr="007B4EED" w:rsidRDefault="00F83085" w:rsidP="00C21635">
      <w:pPr>
        <w:spacing w:after="0"/>
        <w:jc w:val="both"/>
        <w:rPr>
          <w:rFonts w:ascii="DejaVu Serif" w:hAnsi="DejaVu Serif" w:cs="DejaVu Sans Condensed"/>
          <w:noProof/>
          <w:color w:val="auto"/>
          <w:sz w:val="19"/>
          <w:szCs w:val="19"/>
          <w:lang w:val="es-ES_tradnl"/>
        </w:rPr>
      </w:pPr>
      <w:r w:rsidRPr="007B4EED">
        <w:rPr>
          <w:rFonts w:ascii="DejaVu Serif" w:hAnsi="DejaVu Serif" w:cs="DejaVu Sans Condensed"/>
          <w:noProof/>
          <w:color w:val="auto"/>
          <w:sz w:val="19"/>
          <w:szCs w:val="19"/>
          <w:lang w:val="es-ES_tradnl"/>
        </w:rPr>
        <w:t>Existen</w:t>
      </w:r>
      <w:r w:rsidR="006F1E40" w:rsidRPr="007B4EED">
        <w:rPr>
          <w:rFonts w:ascii="DejaVu Serif" w:hAnsi="DejaVu Serif" w:cs="DejaVu Sans Condensed"/>
          <w:noProof/>
          <w:color w:val="auto"/>
          <w:sz w:val="19"/>
          <w:szCs w:val="19"/>
          <w:lang w:val="es-ES_tradnl"/>
        </w:rPr>
        <w:t xml:space="preserve"> diferencias entre el </w:t>
      </w:r>
      <w:r w:rsidR="007B4EED">
        <w:rPr>
          <w:rFonts w:ascii="DejaVu Serif" w:hAnsi="DejaVu Serif" w:cs="DejaVu Sans Condensed"/>
          <w:noProof/>
          <w:color w:val="auto"/>
          <w:sz w:val="19"/>
          <w:szCs w:val="19"/>
          <w:lang w:val="es-ES_tradnl"/>
        </w:rPr>
        <w:t>doct</w:t>
      </w:r>
      <w:r w:rsidRPr="007B4EED">
        <w:rPr>
          <w:rFonts w:ascii="DejaVu Serif" w:hAnsi="DejaVu Serif" w:cs="DejaVu Sans Condensed"/>
          <w:noProof/>
          <w:color w:val="auto"/>
          <w:sz w:val="19"/>
          <w:szCs w:val="19"/>
          <w:lang w:val="es-ES_tradnl"/>
        </w:rPr>
        <w:t>rina</w:t>
      </w:r>
      <w:r w:rsidR="006F1E40" w:rsidRPr="007B4EED">
        <w:rPr>
          <w:rFonts w:ascii="DejaVu Serif" w:hAnsi="DejaVu Serif" w:cs="DejaVu Sans Condensed"/>
          <w:noProof/>
          <w:color w:val="auto"/>
          <w:sz w:val="19"/>
          <w:szCs w:val="19"/>
          <w:lang w:val="es-ES_tradnl"/>
        </w:rPr>
        <w:t xml:space="preserve"> </w:t>
      </w:r>
      <w:r w:rsidRPr="007B4EED">
        <w:rPr>
          <w:rFonts w:ascii="DejaVu Serif" w:hAnsi="DejaVu Serif" w:cs="DejaVu Sans Condensed"/>
          <w:noProof/>
          <w:color w:val="auto"/>
          <w:sz w:val="19"/>
          <w:szCs w:val="19"/>
          <w:lang w:val="es-ES_tradnl"/>
        </w:rPr>
        <w:t>del Tribunal Consttiucional sobre e</w:t>
      </w:r>
      <w:r w:rsidR="006F1E40" w:rsidRPr="007B4EED">
        <w:rPr>
          <w:rFonts w:ascii="DejaVu Serif" w:hAnsi="DejaVu Serif" w:cs="DejaVu Sans Condensed"/>
          <w:noProof/>
          <w:color w:val="auto"/>
          <w:sz w:val="19"/>
          <w:szCs w:val="19"/>
          <w:lang w:val="es-ES_tradnl"/>
        </w:rPr>
        <w:t>l Principio de Publicidad</w:t>
      </w:r>
      <w:r w:rsidRPr="007B4EED">
        <w:rPr>
          <w:rFonts w:ascii="DejaVu Serif" w:hAnsi="DejaVu Serif" w:cs="DejaVu Sans Condensed"/>
          <w:noProof/>
          <w:color w:val="auto"/>
          <w:sz w:val="19"/>
          <w:szCs w:val="19"/>
          <w:lang w:val="es-ES_tradnl"/>
        </w:rPr>
        <w:t xml:space="preserve"> y la doctrina sobre</w:t>
      </w:r>
      <w:r w:rsidR="006F1E40" w:rsidRPr="007B4EED">
        <w:rPr>
          <w:rFonts w:ascii="DejaVu Serif" w:hAnsi="DejaVu Serif" w:cs="DejaVu Sans Condensed"/>
          <w:noProof/>
          <w:color w:val="auto"/>
          <w:sz w:val="19"/>
          <w:szCs w:val="19"/>
          <w:lang w:val="es-ES_tradnl"/>
        </w:rPr>
        <w:t xml:space="preserve"> </w:t>
      </w:r>
      <w:r w:rsidR="00773EF2" w:rsidRPr="007B4EED">
        <w:rPr>
          <w:rFonts w:ascii="DejaVu Serif" w:hAnsi="DejaVu Serif" w:cs="DejaVu Sans Condensed"/>
          <w:noProof/>
          <w:color w:val="auto"/>
          <w:sz w:val="19"/>
          <w:szCs w:val="19"/>
          <w:lang w:val="es-ES_tradnl"/>
        </w:rPr>
        <w:t xml:space="preserve">el </w:t>
      </w:r>
      <w:r w:rsidRPr="007B4EED">
        <w:rPr>
          <w:rFonts w:ascii="DejaVu Serif" w:hAnsi="DejaVu Serif" w:cs="DejaVu Sans Condensed"/>
          <w:noProof/>
          <w:color w:val="auto"/>
          <w:sz w:val="19"/>
          <w:szCs w:val="19"/>
          <w:lang w:val="es-ES_tradnl"/>
        </w:rPr>
        <w:t>D</w:t>
      </w:r>
      <w:r w:rsidR="00773EF2" w:rsidRPr="007B4EED">
        <w:rPr>
          <w:rFonts w:ascii="DejaVu Serif" w:hAnsi="DejaVu Serif" w:cs="DejaVu Sans Condensed"/>
          <w:noProof/>
          <w:color w:val="auto"/>
          <w:sz w:val="19"/>
          <w:szCs w:val="19"/>
          <w:lang w:val="es-ES_tradnl"/>
        </w:rPr>
        <w:t xml:space="preserve">erecho de acceso </w:t>
      </w:r>
      <w:r w:rsidR="007B4EED">
        <w:rPr>
          <w:rFonts w:ascii="DejaVu Serif" w:hAnsi="DejaVu Serif" w:cs="DejaVu Sans Condensed"/>
          <w:noProof/>
          <w:color w:val="auto"/>
          <w:sz w:val="19"/>
          <w:szCs w:val="19"/>
          <w:lang w:val="es-ES_tradnl"/>
        </w:rPr>
        <w:t>a</w:t>
      </w:r>
      <w:r w:rsidR="00773EF2" w:rsidRPr="007B4EED">
        <w:rPr>
          <w:rFonts w:ascii="DejaVu Serif" w:hAnsi="DejaVu Serif" w:cs="DejaVu Sans Condensed"/>
          <w:noProof/>
          <w:color w:val="auto"/>
          <w:sz w:val="19"/>
          <w:szCs w:val="19"/>
          <w:lang w:val="es-ES_tradnl"/>
        </w:rPr>
        <w:t xml:space="preserve"> la información pública del</w:t>
      </w:r>
      <w:r w:rsidR="006F1E40" w:rsidRPr="007B4EED">
        <w:rPr>
          <w:rFonts w:ascii="DejaVu Serif" w:hAnsi="DejaVu Serif" w:cs="DejaVu Sans Condensed"/>
          <w:noProof/>
          <w:color w:val="auto"/>
          <w:sz w:val="19"/>
          <w:szCs w:val="19"/>
          <w:lang w:val="es-ES_tradnl"/>
        </w:rPr>
        <w:t xml:space="preserve"> Sistema Interamericano de Derechos Humanos. </w:t>
      </w:r>
      <w:r w:rsidR="00773EF2" w:rsidRPr="007B4EED">
        <w:rPr>
          <w:rFonts w:ascii="DejaVu Serif" w:hAnsi="DejaVu Serif" w:cs="DejaVu Sans Condensed"/>
          <w:noProof/>
          <w:color w:val="auto"/>
          <w:sz w:val="19"/>
          <w:szCs w:val="19"/>
          <w:lang w:val="es-ES_tradnl"/>
        </w:rPr>
        <w:t xml:space="preserve">El primero </w:t>
      </w:r>
      <w:r w:rsidRPr="007B4EED">
        <w:rPr>
          <w:rFonts w:ascii="DejaVu Serif" w:hAnsi="DejaVu Serif" w:cs="DejaVu Sans Condensed"/>
          <w:noProof/>
          <w:color w:val="auto"/>
          <w:sz w:val="19"/>
          <w:szCs w:val="19"/>
          <w:lang w:val="es-ES_tradnl"/>
        </w:rPr>
        <w:t xml:space="preserve">estima </w:t>
      </w:r>
      <w:r w:rsidR="00773EF2" w:rsidRPr="007B4EED">
        <w:rPr>
          <w:rFonts w:ascii="DejaVu Serif" w:hAnsi="DejaVu Serif" w:cs="DejaVu Sans Condensed"/>
          <w:noProof/>
          <w:color w:val="auto"/>
          <w:sz w:val="19"/>
          <w:szCs w:val="19"/>
          <w:lang w:val="es-ES_tradnl"/>
        </w:rPr>
        <w:t>que la Constitución Política limita el alcance sólo a</w:t>
      </w:r>
      <w:r w:rsidR="006F1E40" w:rsidRPr="007B4EED">
        <w:rPr>
          <w:rFonts w:ascii="DejaVu Serif" w:hAnsi="DejaVu Serif" w:cs="DejaVu Sans Condensed"/>
          <w:noProof/>
          <w:color w:val="auto"/>
          <w:sz w:val="19"/>
          <w:szCs w:val="19"/>
          <w:lang w:val="es-ES_tradnl"/>
        </w:rPr>
        <w:t xml:space="preserve"> actos y resoluciones, sus fundamentos y procedimientos. El segundo</w:t>
      </w:r>
      <w:r w:rsidR="00773EF2" w:rsidRPr="007B4EED">
        <w:rPr>
          <w:rFonts w:ascii="DejaVu Serif" w:hAnsi="DejaVu Serif" w:cs="DejaVu Sans Condensed"/>
          <w:noProof/>
          <w:color w:val="auto"/>
          <w:sz w:val="19"/>
          <w:szCs w:val="19"/>
          <w:lang w:val="es-ES_tradnl"/>
        </w:rPr>
        <w:t xml:space="preserve"> </w:t>
      </w:r>
      <w:r w:rsidRPr="007B4EED">
        <w:rPr>
          <w:rFonts w:ascii="DejaVu Serif" w:hAnsi="DejaVu Serif" w:cs="DejaVu Sans Condensed"/>
          <w:noProof/>
          <w:color w:val="auto"/>
          <w:sz w:val="19"/>
          <w:szCs w:val="19"/>
          <w:lang w:val="es-ES_tradnl"/>
        </w:rPr>
        <w:t>considera</w:t>
      </w:r>
      <w:r w:rsidR="00773EF2" w:rsidRPr="007B4EED">
        <w:rPr>
          <w:rFonts w:ascii="DejaVu Serif" w:hAnsi="DejaVu Serif" w:cs="DejaVu Sans Condensed"/>
          <w:noProof/>
          <w:color w:val="auto"/>
          <w:sz w:val="19"/>
          <w:szCs w:val="19"/>
          <w:lang w:val="es-ES_tradnl"/>
        </w:rPr>
        <w:t xml:space="preserve"> que la información pública es toda aquella que los órganos públicos posean, custodien o controlen, en un tenor similar </w:t>
      </w:r>
      <w:r w:rsidRPr="007B4EED">
        <w:rPr>
          <w:rFonts w:ascii="DejaVu Serif" w:hAnsi="DejaVu Serif" w:cs="DejaVu Sans Condensed"/>
          <w:noProof/>
          <w:color w:val="auto"/>
          <w:sz w:val="19"/>
          <w:szCs w:val="19"/>
          <w:lang w:val="es-ES_tradnl"/>
        </w:rPr>
        <w:t xml:space="preserve">al artículo 5° de la </w:t>
      </w:r>
      <w:r w:rsidR="00773EF2" w:rsidRPr="007B4EED">
        <w:rPr>
          <w:rFonts w:ascii="DejaVu Serif" w:hAnsi="DejaVu Serif" w:cs="DejaVu Sans Condensed"/>
          <w:noProof/>
          <w:color w:val="auto"/>
          <w:sz w:val="19"/>
          <w:szCs w:val="19"/>
          <w:lang w:val="es-ES_tradnl"/>
        </w:rPr>
        <w:t>Ley N° 20.285.</w:t>
      </w:r>
    </w:p>
    <w:p w14:paraId="4BE2B831" w14:textId="77777777" w:rsidR="00773EF2" w:rsidRPr="007B4EED" w:rsidRDefault="00773EF2" w:rsidP="00773EF2">
      <w:pPr>
        <w:spacing w:after="60"/>
        <w:jc w:val="both"/>
        <w:rPr>
          <w:rFonts w:ascii="DejaVu Serif" w:hAnsi="DejaVu Serif" w:cs="DejaVu Sans Condensed"/>
          <w:noProof/>
          <w:color w:val="auto"/>
          <w:sz w:val="19"/>
          <w:szCs w:val="19"/>
          <w:lang w:val="es-ES_tradnl"/>
        </w:rPr>
      </w:pPr>
    </w:p>
    <w:p w14:paraId="5DEB05AA" w14:textId="77777777" w:rsidR="00841094" w:rsidRPr="00C45E13" w:rsidRDefault="00841094" w:rsidP="009448A9">
      <w:pPr>
        <w:autoSpaceDE w:val="0"/>
        <w:autoSpaceDN w:val="0"/>
        <w:adjustRightInd w:val="0"/>
        <w:spacing w:after="0"/>
        <w:ind w:left="284" w:right="-144"/>
        <w:jc w:val="right"/>
        <w:rPr>
          <w:rFonts w:ascii="DejaVu Serif" w:hAnsi="DejaVu Serif" w:cs="DejaVu Sans Condensed"/>
          <w:color w:val="auto"/>
          <w:sz w:val="16"/>
          <w:szCs w:val="16"/>
          <w:lang w:val="es-CL"/>
        </w:rPr>
      </w:pPr>
      <w:r w:rsidRPr="00C45E13">
        <w:rPr>
          <w:rFonts w:ascii="DejaVu Serif" w:hAnsi="DejaVu Serif" w:cs="DejaVu Sans Condensed"/>
          <w:color w:val="auto"/>
          <w:sz w:val="16"/>
          <w:szCs w:val="16"/>
          <w:lang w:val="es-CL"/>
        </w:rPr>
        <w:t>Está enfocada en apoyar preferentemente el trabajo de las Comisiones Legislativas de ambas Cámaras, con especial atención al seguimiento de los proyectos de ley</w:t>
      </w:r>
      <w:r w:rsidR="0083786F" w:rsidRPr="00C45E13">
        <w:rPr>
          <w:rFonts w:ascii="DejaVu Serif" w:hAnsi="DejaVu Serif" w:cs="DejaVu Sans Condensed"/>
          <w:color w:val="auto"/>
          <w:sz w:val="16"/>
          <w:szCs w:val="16"/>
          <w:lang w:val="es-CL"/>
        </w:rPr>
        <w:t>, contribuyendo a</w:t>
      </w:r>
      <w:r w:rsidRPr="00C45E13">
        <w:rPr>
          <w:rFonts w:ascii="DejaVu Serif" w:hAnsi="DejaVu Serif" w:cs="DejaVu Sans Condensed"/>
          <w:color w:val="auto"/>
          <w:sz w:val="16"/>
          <w:szCs w:val="16"/>
          <w:lang w:val="es-CL"/>
        </w:rPr>
        <w:t xml:space="preserve"> la certeza legislativa y a disminuir la brecha de disponibilidad de información y análisis entre Legislativo y Ejecutivo.</w:t>
      </w:r>
    </w:p>
    <w:p w14:paraId="1C454292" w14:textId="77777777" w:rsidR="009448A9" w:rsidRPr="00C45E13" w:rsidRDefault="009448A9" w:rsidP="0083786F">
      <w:pPr>
        <w:autoSpaceDE w:val="0"/>
        <w:autoSpaceDN w:val="0"/>
        <w:adjustRightInd w:val="0"/>
        <w:spacing w:after="0"/>
        <w:ind w:left="57" w:right="-142"/>
        <w:jc w:val="right"/>
        <w:rPr>
          <w:rFonts w:ascii="DejaVu Serif" w:hAnsi="DejaVu Serif" w:cs="DejaVu Sans Condensed"/>
          <w:b/>
          <w:color w:val="auto"/>
          <w:sz w:val="16"/>
          <w:szCs w:val="16"/>
          <w:lang w:val="es-CL"/>
        </w:rPr>
      </w:pPr>
    </w:p>
    <w:p w14:paraId="28179F86" w14:textId="77777777" w:rsidR="00841094" w:rsidRPr="00C45E13" w:rsidRDefault="00841094" w:rsidP="0083786F">
      <w:pPr>
        <w:autoSpaceDE w:val="0"/>
        <w:autoSpaceDN w:val="0"/>
        <w:adjustRightInd w:val="0"/>
        <w:spacing w:after="0"/>
        <w:ind w:left="57" w:right="-142"/>
        <w:jc w:val="right"/>
        <w:rPr>
          <w:rFonts w:ascii="DejaVu Serif" w:hAnsi="DejaVu Serif" w:cs="DejaVu Sans Condensed"/>
          <w:color w:val="auto"/>
          <w:sz w:val="16"/>
          <w:szCs w:val="16"/>
          <w:lang w:val="pt-BR"/>
        </w:rPr>
      </w:pPr>
      <w:proofErr w:type="spellStart"/>
      <w:r w:rsidRPr="00C45E13">
        <w:rPr>
          <w:rFonts w:ascii="DejaVu Serif" w:hAnsi="DejaVu Serif" w:cs="DejaVu Sans Condensed"/>
          <w:b/>
          <w:color w:val="auto"/>
          <w:sz w:val="16"/>
          <w:szCs w:val="16"/>
          <w:lang w:val="pt-BR"/>
        </w:rPr>
        <w:t>Contacto</w:t>
      </w:r>
      <w:proofErr w:type="spellEnd"/>
    </w:p>
    <w:p w14:paraId="2D4FB245" w14:textId="77777777" w:rsidR="002B4DE6" w:rsidRPr="00C45E13" w:rsidRDefault="002B4DE6" w:rsidP="0083786F">
      <w:pPr>
        <w:autoSpaceDE w:val="0"/>
        <w:autoSpaceDN w:val="0"/>
        <w:adjustRightInd w:val="0"/>
        <w:spacing w:after="0"/>
        <w:ind w:left="56" w:right="-144" w:firstLine="7"/>
        <w:jc w:val="right"/>
        <w:rPr>
          <w:rFonts w:ascii="DejaVu Serif" w:hAnsi="DejaVu Serif" w:cs="DejaVu Sans Condensed"/>
          <w:color w:val="auto"/>
          <w:sz w:val="16"/>
          <w:szCs w:val="16"/>
          <w:u w:val="single"/>
          <w:lang w:val="pt-BR"/>
        </w:rPr>
      </w:pPr>
      <w:r w:rsidRPr="00C45E13">
        <w:rPr>
          <w:rFonts w:ascii="DejaVu Serif" w:hAnsi="DejaVu Serif" w:cs="DejaVu Sans Condensed"/>
          <w:color w:val="auto"/>
          <w:sz w:val="16"/>
          <w:szCs w:val="16"/>
          <w:lang w:val="pt-BR"/>
        </w:rPr>
        <w:t xml:space="preserve">E-mail: </w:t>
      </w:r>
      <w:hyperlink r:id="rId12" w:history="1">
        <w:r w:rsidRPr="00C45E13">
          <w:rPr>
            <w:rStyle w:val="Hipervnculo"/>
            <w:rFonts w:ascii="DejaVu Serif" w:hAnsi="DejaVu Serif" w:cs="DejaVu Sans Condensed"/>
            <w:color w:val="auto"/>
            <w:sz w:val="16"/>
            <w:szCs w:val="16"/>
            <w:lang w:val="pt-BR"/>
          </w:rPr>
          <w:t>atencionparlamentarios</w:t>
        </w:r>
      </w:hyperlink>
      <w:hyperlink r:id="rId13" w:history="1">
        <w:r w:rsidRPr="00C45E13">
          <w:rPr>
            <w:rFonts w:ascii="DejaVu Serif" w:hAnsi="DejaVu Serif" w:cs="DejaVu Sans Condensed"/>
            <w:color w:val="auto"/>
            <w:sz w:val="16"/>
            <w:szCs w:val="16"/>
            <w:u w:val="single"/>
            <w:lang w:val="pt-BR"/>
          </w:rPr>
          <w:t>@bcn.cl</w:t>
        </w:r>
      </w:hyperlink>
    </w:p>
    <w:p w14:paraId="16BFBD05" w14:textId="62C6BDEF" w:rsidR="00363CB9" w:rsidRPr="00C45E13" w:rsidRDefault="00841094" w:rsidP="00363CB9">
      <w:pPr>
        <w:autoSpaceDE w:val="0"/>
        <w:autoSpaceDN w:val="0"/>
        <w:adjustRightInd w:val="0"/>
        <w:spacing w:after="0"/>
        <w:ind w:left="56" w:right="-144" w:firstLine="7"/>
        <w:jc w:val="right"/>
        <w:rPr>
          <w:rFonts w:ascii="DejaVu Serif" w:hAnsi="DejaVu Serif" w:cs="DejaVu Serif Condensed"/>
          <w:color w:val="auto"/>
          <w:sz w:val="16"/>
          <w:szCs w:val="16"/>
          <w:lang w:val="es-CL" w:eastAsia="es-CL"/>
        </w:rPr>
      </w:pPr>
      <w:r w:rsidRPr="00C45E13">
        <w:rPr>
          <w:rFonts w:ascii="DejaVu Serif" w:hAnsi="DejaVu Serif" w:cs="DejaVu Sans Condensed"/>
          <w:color w:val="auto"/>
          <w:sz w:val="16"/>
          <w:szCs w:val="16"/>
          <w:lang w:val="pt-BR"/>
        </w:rPr>
        <w:t>Tel.: (56)32-226 3168 (</w:t>
      </w:r>
      <w:proofErr w:type="spellStart"/>
      <w:r w:rsidRPr="00C45E13">
        <w:rPr>
          <w:rFonts w:ascii="DejaVu Serif" w:hAnsi="DejaVu Serif" w:cs="DejaVu Sans Condensed"/>
          <w:color w:val="auto"/>
          <w:sz w:val="16"/>
          <w:szCs w:val="16"/>
          <w:lang w:val="pt-BR"/>
        </w:rPr>
        <w:t>Valpo</w:t>
      </w:r>
      <w:proofErr w:type="spellEnd"/>
      <w:r w:rsidRPr="00C45E13">
        <w:rPr>
          <w:rFonts w:ascii="DejaVu Serif" w:hAnsi="DejaVu Serif" w:cs="DejaVu Sans Condensed"/>
          <w:color w:val="auto"/>
          <w:sz w:val="16"/>
          <w:szCs w:val="16"/>
          <w:lang w:val="pt-BR"/>
        </w:rPr>
        <w:t>.)</w:t>
      </w:r>
    </w:p>
    <w:p w14:paraId="54C32249" w14:textId="77777777" w:rsidR="00363CB9" w:rsidRPr="00C45E13" w:rsidRDefault="00363CB9" w:rsidP="00913594">
      <w:pPr>
        <w:autoSpaceDE w:val="0"/>
        <w:autoSpaceDN w:val="0"/>
        <w:adjustRightInd w:val="0"/>
        <w:spacing w:before="120" w:after="0"/>
        <w:ind w:left="170" w:right="-170"/>
        <w:jc w:val="right"/>
        <w:rPr>
          <w:rFonts w:ascii="DejaVu Serif" w:hAnsi="DejaVu Serif" w:cs="DejaVu Serif Condensed"/>
          <w:color w:val="auto"/>
          <w:sz w:val="16"/>
          <w:szCs w:val="16"/>
          <w:lang w:val="es-CL" w:eastAsia="es-CL"/>
        </w:rPr>
      </w:pPr>
    </w:p>
    <w:p w14:paraId="4F33129B" w14:textId="77777777" w:rsidR="00773EF2" w:rsidRPr="00C45E13" w:rsidRDefault="00773EF2" w:rsidP="00913594">
      <w:pPr>
        <w:autoSpaceDE w:val="0"/>
        <w:autoSpaceDN w:val="0"/>
        <w:adjustRightInd w:val="0"/>
        <w:spacing w:before="120" w:after="0"/>
        <w:ind w:left="170" w:right="-170"/>
        <w:jc w:val="right"/>
        <w:rPr>
          <w:rFonts w:ascii="DejaVu Serif" w:hAnsi="DejaVu Serif" w:cs="DejaVu Serif Condensed"/>
          <w:color w:val="auto"/>
          <w:sz w:val="16"/>
          <w:szCs w:val="16"/>
          <w:lang w:val="es-CL" w:eastAsia="es-CL"/>
        </w:rPr>
      </w:pPr>
    </w:p>
    <w:p w14:paraId="2905BD3A" w14:textId="693BFDBD" w:rsidR="00913594" w:rsidRPr="00C45E13" w:rsidRDefault="00913594" w:rsidP="00913594">
      <w:pPr>
        <w:autoSpaceDE w:val="0"/>
        <w:autoSpaceDN w:val="0"/>
        <w:adjustRightInd w:val="0"/>
        <w:spacing w:before="120" w:after="0"/>
        <w:ind w:left="170" w:right="-170"/>
        <w:jc w:val="right"/>
        <w:rPr>
          <w:rFonts w:ascii="DejaVu Serif" w:hAnsi="DejaVu Serif" w:cs="DejaVu Serif Condensed"/>
          <w:color w:val="auto"/>
          <w:sz w:val="16"/>
          <w:szCs w:val="16"/>
          <w:lang w:val="es-CL" w:eastAsia="es-CL"/>
        </w:rPr>
      </w:pPr>
      <w:r w:rsidRPr="00C45E13">
        <w:rPr>
          <w:rFonts w:ascii="DejaVu Serif" w:hAnsi="DejaVu Serif" w:cs="DejaVu Serif Condensed"/>
          <w:color w:val="auto"/>
          <w:sz w:val="16"/>
          <w:szCs w:val="16"/>
          <w:lang w:val="es-CL" w:eastAsia="es-CL"/>
        </w:rPr>
        <w:t xml:space="preserve">El presente documento responde a una solicitud </w:t>
      </w:r>
      <w:r w:rsidR="00CC34F7" w:rsidRPr="00C45E13">
        <w:rPr>
          <w:rFonts w:ascii="DejaVu Serif" w:hAnsi="DejaVu Serif" w:cs="DejaVu Serif Condensed"/>
          <w:color w:val="auto"/>
          <w:sz w:val="16"/>
          <w:szCs w:val="16"/>
          <w:lang w:val="es-CL" w:eastAsia="es-CL"/>
        </w:rPr>
        <w:t xml:space="preserve">parlamentaria </w:t>
      </w:r>
      <w:r w:rsidRPr="00C45E13">
        <w:rPr>
          <w:rFonts w:ascii="DejaVu Serif" w:hAnsi="DejaVu Serif" w:cs="DejaVu Serif Condensed"/>
          <w:color w:val="auto"/>
          <w:sz w:val="16"/>
          <w:szCs w:val="16"/>
          <w:lang w:val="es-CL" w:eastAsia="es-CL"/>
        </w:rPr>
        <w:t>del Congreso Nacional, conforme a sus orientaciones y particulares requerimientos. Por consiguiente, tanto la temática abordada como sus contenidos están determinados por los parámetros de análisis acordados y por el plazo de entrega convenido. Su objeto fundamental no es el debate académico, si bien su elaboración observó los criterios de validez, confiabilidad, neutralidad y oportunidad en la entrega.</w:t>
      </w:r>
    </w:p>
    <w:p w14:paraId="17E59633" w14:textId="77777777" w:rsidR="00913594" w:rsidRDefault="00913594" w:rsidP="00913594">
      <w:pPr>
        <w:autoSpaceDE w:val="0"/>
        <w:autoSpaceDN w:val="0"/>
        <w:adjustRightInd w:val="0"/>
        <w:spacing w:before="120" w:after="0"/>
        <w:ind w:left="170" w:right="-170"/>
        <w:jc w:val="right"/>
        <w:rPr>
          <w:rFonts w:ascii="DejaVu Serif Condensed"/>
          <w:color w:val="auto"/>
          <w:sz w:val="20"/>
          <w:szCs w:val="20"/>
          <w:lang w:val="es-CL" w:eastAsia="es-CL"/>
        </w:rPr>
      </w:pPr>
    </w:p>
    <w:p w14:paraId="4141FE4F" w14:textId="7CA25E34" w:rsidR="0083206B" w:rsidRPr="00830AE8" w:rsidRDefault="0083206B" w:rsidP="00A26844">
      <w:pPr>
        <w:autoSpaceDE w:val="0"/>
        <w:autoSpaceDN w:val="0"/>
        <w:adjustRightInd w:val="0"/>
        <w:spacing w:before="120" w:after="0"/>
        <w:ind w:left="56" w:right="-221" w:firstLine="7"/>
        <w:jc w:val="right"/>
        <w:rPr>
          <w:rFonts w:ascii="DejaVu Serif" w:hAnsi="DejaVu Serif"/>
          <w:b/>
          <w:color w:val="FF0000"/>
          <w:sz w:val="19"/>
          <w:szCs w:val="19"/>
          <w:lang w:val="es-CL"/>
        </w:rPr>
      </w:pPr>
      <w:r w:rsidRPr="00830AE8">
        <w:rPr>
          <w:rFonts w:ascii="DejaVu Serif" w:hAnsi="DejaVu Serif"/>
          <w:b/>
          <w:color w:val="FF0000"/>
          <w:sz w:val="19"/>
          <w:szCs w:val="19"/>
          <w:lang w:val="es-CL"/>
        </w:rPr>
        <w:t>Guido Williams O.</w:t>
      </w:r>
    </w:p>
    <w:p w14:paraId="1BC5E4C8" w14:textId="77777777" w:rsidR="0083206B" w:rsidRPr="00830AE8" w:rsidRDefault="0083206B" w:rsidP="00A26844">
      <w:pPr>
        <w:autoSpaceDE w:val="0"/>
        <w:autoSpaceDN w:val="0"/>
        <w:adjustRightInd w:val="0"/>
        <w:spacing w:after="0"/>
        <w:ind w:left="57" w:right="-221"/>
        <w:jc w:val="right"/>
        <w:rPr>
          <w:rFonts w:ascii="DejaVu Serif" w:hAnsi="DejaVu Serif"/>
          <w:color w:val="auto"/>
          <w:sz w:val="19"/>
          <w:szCs w:val="19"/>
          <w:lang w:val="es-CL"/>
        </w:rPr>
      </w:pPr>
      <w:r w:rsidRPr="00830AE8">
        <w:rPr>
          <w:rFonts w:ascii="DejaVu Serif" w:hAnsi="DejaVu Serif"/>
          <w:color w:val="auto"/>
          <w:sz w:val="19"/>
          <w:szCs w:val="19"/>
          <w:lang w:val="es-CL"/>
        </w:rPr>
        <w:t>Abogado,  Universidad  de Chile</w:t>
      </w:r>
    </w:p>
    <w:p w14:paraId="11E69C75" w14:textId="77777777" w:rsidR="0083206B" w:rsidRPr="00830AE8" w:rsidRDefault="0083206B" w:rsidP="00A26844">
      <w:pPr>
        <w:autoSpaceDE w:val="0"/>
        <w:autoSpaceDN w:val="0"/>
        <w:adjustRightInd w:val="0"/>
        <w:spacing w:after="0"/>
        <w:ind w:left="57" w:right="-221"/>
        <w:jc w:val="right"/>
        <w:rPr>
          <w:rFonts w:ascii="DejaVu Serif" w:hAnsi="DejaVu Serif"/>
          <w:color w:val="auto"/>
          <w:sz w:val="19"/>
          <w:szCs w:val="19"/>
          <w:lang w:val="es-CL"/>
        </w:rPr>
      </w:pPr>
      <w:r w:rsidRPr="00830AE8">
        <w:rPr>
          <w:rFonts w:ascii="DejaVu Serif" w:hAnsi="DejaVu Serif"/>
          <w:color w:val="auto"/>
          <w:sz w:val="19"/>
          <w:szCs w:val="19"/>
          <w:lang w:val="es-CL"/>
        </w:rPr>
        <w:t>Magíster en Derecho (PUCV).</w:t>
      </w:r>
    </w:p>
    <w:p w14:paraId="570CF923" w14:textId="77777777" w:rsidR="0083206B" w:rsidRPr="00830AE8" w:rsidRDefault="0083206B" w:rsidP="00A26844">
      <w:pPr>
        <w:autoSpaceDE w:val="0"/>
        <w:autoSpaceDN w:val="0"/>
        <w:adjustRightInd w:val="0"/>
        <w:spacing w:after="0"/>
        <w:ind w:left="57" w:right="-221"/>
        <w:jc w:val="right"/>
        <w:rPr>
          <w:rFonts w:ascii="DejaVu Serif" w:hAnsi="DejaVu Serif"/>
          <w:color w:val="auto"/>
          <w:sz w:val="19"/>
          <w:szCs w:val="19"/>
          <w:lang w:val="es-CL"/>
        </w:rPr>
      </w:pPr>
      <w:r w:rsidRPr="00830AE8">
        <w:rPr>
          <w:rFonts w:ascii="DejaVu Serif" w:hAnsi="DejaVu Serif"/>
          <w:color w:val="auto"/>
          <w:sz w:val="19"/>
          <w:szCs w:val="19"/>
          <w:lang w:val="es-CL"/>
        </w:rPr>
        <w:t>Doctor (c) en Derecho (PUCV)</w:t>
      </w:r>
    </w:p>
    <w:p w14:paraId="27BE9C3E" w14:textId="77777777" w:rsidR="0083206B" w:rsidRPr="00830AE8" w:rsidRDefault="0083206B" w:rsidP="00A26844">
      <w:pPr>
        <w:autoSpaceDE w:val="0"/>
        <w:autoSpaceDN w:val="0"/>
        <w:adjustRightInd w:val="0"/>
        <w:spacing w:after="0"/>
        <w:ind w:left="57" w:right="-221"/>
        <w:jc w:val="right"/>
        <w:rPr>
          <w:rFonts w:ascii="DejaVu Serif" w:hAnsi="DejaVu Serif"/>
          <w:color w:val="auto"/>
          <w:sz w:val="19"/>
          <w:szCs w:val="19"/>
          <w:u w:val="single"/>
          <w:lang w:val="pt-BR"/>
        </w:rPr>
      </w:pPr>
      <w:r w:rsidRPr="00830AE8">
        <w:rPr>
          <w:rFonts w:ascii="DejaVu Serif" w:hAnsi="DejaVu Serif"/>
          <w:color w:val="auto"/>
          <w:sz w:val="19"/>
          <w:szCs w:val="19"/>
          <w:lang w:val="es-CL"/>
        </w:rPr>
        <w:t xml:space="preserve"> </w:t>
      </w:r>
      <w:r w:rsidRPr="00830AE8">
        <w:rPr>
          <w:rFonts w:ascii="DejaVu Serif" w:hAnsi="DejaVu Serif"/>
          <w:color w:val="auto"/>
          <w:sz w:val="19"/>
          <w:szCs w:val="19"/>
          <w:lang w:val="pt-BR"/>
        </w:rPr>
        <w:t xml:space="preserve">E-mail: </w:t>
      </w:r>
      <w:hyperlink r:id="rId14" w:history="1">
        <w:r w:rsidRPr="00830AE8">
          <w:rPr>
            <w:rFonts w:ascii="DejaVu Serif" w:hAnsi="DejaVu Serif"/>
            <w:color w:val="auto"/>
            <w:sz w:val="19"/>
            <w:szCs w:val="19"/>
            <w:u w:val="single"/>
            <w:lang w:val="pt-BR"/>
          </w:rPr>
          <w:t>gwilliams@bcn.cl</w:t>
        </w:r>
      </w:hyperlink>
      <w:r w:rsidRPr="00830AE8">
        <w:rPr>
          <w:rFonts w:ascii="DejaVu Serif" w:hAnsi="DejaVu Serif"/>
          <w:color w:val="auto"/>
          <w:sz w:val="19"/>
          <w:szCs w:val="19"/>
          <w:u w:val="single"/>
          <w:lang w:val="pt-BR"/>
        </w:rPr>
        <w:t xml:space="preserve"> </w:t>
      </w:r>
    </w:p>
    <w:p w14:paraId="567CB8E9" w14:textId="77777777" w:rsidR="0083206B" w:rsidRPr="00830AE8" w:rsidRDefault="0083206B" w:rsidP="00A26844">
      <w:pPr>
        <w:autoSpaceDE w:val="0"/>
        <w:autoSpaceDN w:val="0"/>
        <w:adjustRightInd w:val="0"/>
        <w:spacing w:after="0"/>
        <w:ind w:left="720" w:right="-221" w:firstLine="720"/>
        <w:rPr>
          <w:rFonts w:ascii="DejaVu Serif" w:hAnsi="DejaVu Serif" w:cs="DejaVu Sans Condensed"/>
          <w:color w:val="auto"/>
          <w:sz w:val="19"/>
          <w:szCs w:val="19"/>
          <w:lang w:val="pt-BR"/>
        </w:rPr>
      </w:pPr>
      <w:r w:rsidRPr="00830AE8">
        <w:rPr>
          <w:rFonts w:ascii="DejaVu Serif" w:hAnsi="DejaVu Serif"/>
          <w:color w:val="auto"/>
          <w:sz w:val="19"/>
          <w:szCs w:val="19"/>
          <w:lang w:val="pt-BR"/>
        </w:rPr>
        <w:t>Tel.: (56) 3226180</w:t>
      </w:r>
    </w:p>
    <w:p w14:paraId="636F07F2" w14:textId="77777777" w:rsidR="0027226E" w:rsidRPr="00F94465" w:rsidRDefault="0027226E" w:rsidP="00913594">
      <w:pPr>
        <w:autoSpaceDE w:val="0"/>
        <w:autoSpaceDN w:val="0"/>
        <w:adjustRightInd w:val="0"/>
        <w:spacing w:after="0"/>
        <w:ind w:left="57"/>
        <w:jc w:val="right"/>
        <w:rPr>
          <w:rFonts w:ascii="DejaVu Serif Condensed" w:hAnsi="DejaVu Serif Condensed"/>
          <w:noProof/>
          <w:color w:val="auto"/>
          <w:sz w:val="20"/>
          <w:szCs w:val="20"/>
          <w:lang w:val="pt-BR"/>
        </w:rPr>
      </w:pPr>
    </w:p>
    <w:p w14:paraId="3590AE39" w14:textId="77777777" w:rsidR="0027226E" w:rsidRPr="00B70E1A" w:rsidRDefault="0027226E" w:rsidP="00913594">
      <w:pPr>
        <w:autoSpaceDE w:val="0"/>
        <w:autoSpaceDN w:val="0"/>
        <w:adjustRightInd w:val="0"/>
        <w:spacing w:after="0"/>
        <w:ind w:left="57"/>
        <w:jc w:val="right"/>
        <w:rPr>
          <w:rFonts w:ascii="DejaVu Serif Condensed" w:hAnsi="DejaVu Serif Condensed"/>
          <w:noProof/>
          <w:color w:val="auto"/>
          <w:lang w:val="pt-BR"/>
        </w:rPr>
      </w:pPr>
    </w:p>
    <w:p w14:paraId="0A789C59" w14:textId="77777777" w:rsidR="0027226E" w:rsidRPr="00B70E1A" w:rsidRDefault="0027226E" w:rsidP="00913594">
      <w:pPr>
        <w:autoSpaceDE w:val="0"/>
        <w:autoSpaceDN w:val="0"/>
        <w:adjustRightInd w:val="0"/>
        <w:spacing w:after="0"/>
        <w:ind w:left="57"/>
        <w:jc w:val="right"/>
        <w:rPr>
          <w:rFonts w:ascii="DejaVu Serif Condensed" w:hAnsi="DejaVu Serif Condensed"/>
          <w:noProof/>
          <w:color w:val="auto"/>
          <w:lang w:val="pt-BR"/>
        </w:rPr>
      </w:pPr>
    </w:p>
    <w:p w14:paraId="13FBCC3B" w14:textId="77777777" w:rsidR="005D170B" w:rsidRPr="00B70E1A" w:rsidRDefault="005D170B" w:rsidP="00913594">
      <w:pPr>
        <w:autoSpaceDE w:val="0"/>
        <w:autoSpaceDN w:val="0"/>
        <w:adjustRightInd w:val="0"/>
        <w:spacing w:after="0"/>
        <w:ind w:left="57"/>
        <w:jc w:val="right"/>
        <w:rPr>
          <w:rFonts w:ascii="DejaVu Serif Condensed" w:hAnsi="DejaVu Serif Condensed"/>
          <w:noProof/>
          <w:color w:val="auto"/>
          <w:lang w:val="pt-BR"/>
        </w:rPr>
      </w:pPr>
    </w:p>
    <w:p w14:paraId="482420A3" w14:textId="77777777" w:rsidR="00AD725B" w:rsidRPr="00B70E1A" w:rsidRDefault="00797CD0" w:rsidP="00913594">
      <w:pPr>
        <w:autoSpaceDE w:val="0"/>
        <w:autoSpaceDN w:val="0"/>
        <w:adjustRightInd w:val="0"/>
        <w:spacing w:after="0"/>
        <w:ind w:left="57"/>
        <w:jc w:val="right"/>
        <w:rPr>
          <w:rFonts w:ascii="DejaVu Serif Condensed" w:hAnsi="DejaVu Serif Condensed"/>
          <w:color w:val="auto"/>
          <w:sz w:val="16"/>
          <w:szCs w:val="24"/>
          <w:lang w:val="pt-BR"/>
        </w:rPr>
        <w:sectPr w:rsidR="00AD725B" w:rsidRPr="00B70E1A" w:rsidSect="009448A9">
          <w:type w:val="continuous"/>
          <w:pgSz w:w="12240" w:h="15840" w:code="1"/>
          <w:pgMar w:top="851" w:right="851" w:bottom="851" w:left="851" w:header="360" w:footer="720" w:gutter="0"/>
          <w:cols w:num="3" w:space="284"/>
          <w:titlePg/>
          <w:docGrid w:linePitch="360"/>
        </w:sectPr>
      </w:pPr>
      <w:r w:rsidRPr="00B70E1A">
        <w:rPr>
          <w:rFonts w:ascii="DejaVu Serif Condensed" w:hAnsi="DejaVu Serif Condensed"/>
          <w:noProof/>
          <w:color w:val="auto"/>
          <w:lang w:val="pt-BR"/>
        </w:rPr>
        <w:br w:type="column"/>
      </w:r>
    </w:p>
    <w:p w14:paraId="55F4571D" w14:textId="1BC94949" w:rsidR="0083206B" w:rsidRPr="007D54B6" w:rsidRDefault="0083206B" w:rsidP="00D646CB">
      <w:pPr>
        <w:rPr>
          <w:rFonts w:ascii="DejaVu Serif" w:hAnsi="DejaVu Serif"/>
          <w:b/>
          <w:color w:val="auto"/>
          <w:sz w:val="24"/>
          <w:szCs w:val="24"/>
          <w:lang w:val="es-CL"/>
        </w:rPr>
      </w:pPr>
      <w:bookmarkStart w:id="0" w:name="_Toc355107073"/>
      <w:bookmarkEnd w:id="0"/>
      <w:r w:rsidRPr="007D54B6">
        <w:rPr>
          <w:rFonts w:ascii="DejaVu Serif" w:hAnsi="DejaVu Serif"/>
          <w:b/>
          <w:color w:val="auto"/>
          <w:sz w:val="24"/>
          <w:szCs w:val="24"/>
          <w:lang w:val="es-CL"/>
        </w:rPr>
        <w:t>Introducción</w:t>
      </w:r>
    </w:p>
    <w:p w14:paraId="780A9B6F" w14:textId="532A225F" w:rsidR="0083206B" w:rsidRDefault="005F41BB" w:rsidP="00C21635">
      <w:pPr>
        <w:spacing w:after="0"/>
        <w:jc w:val="both"/>
        <w:rPr>
          <w:rFonts w:ascii="DejaVu Serif" w:hAnsi="DejaVu Serif"/>
          <w:color w:val="auto"/>
          <w:sz w:val="20"/>
          <w:szCs w:val="20"/>
          <w:lang w:val="es-CL"/>
        </w:rPr>
      </w:pPr>
      <w:r w:rsidRPr="005F41BB">
        <w:rPr>
          <w:rFonts w:ascii="DejaVu Serif" w:hAnsi="DejaVu Serif"/>
          <w:color w:val="auto"/>
          <w:sz w:val="20"/>
          <w:szCs w:val="20"/>
          <w:lang w:val="es-CL"/>
        </w:rPr>
        <w:t>Se analiza la doctrina de</w:t>
      </w:r>
      <w:r>
        <w:rPr>
          <w:rFonts w:ascii="DejaVu Serif" w:hAnsi="DejaVu Serif"/>
          <w:color w:val="auto"/>
          <w:sz w:val="20"/>
          <w:szCs w:val="20"/>
          <w:lang w:val="es-CL"/>
        </w:rPr>
        <w:t xml:space="preserve"> siete</w:t>
      </w:r>
      <w:r w:rsidRPr="005F41BB">
        <w:rPr>
          <w:rFonts w:ascii="DejaVu Serif" w:hAnsi="DejaVu Serif"/>
          <w:color w:val="auto"/>
          <w:sz w:val="20"/>
          <w:szCs w:val="20"/>
          <w:lang w:val="es-CL"/>
        </w:rPr>
        <w:t xml:space="preserve"> sentencias del Tribunal Constitucional </w:t>
      </w:r>
      <w:r w:rsidR="00A06DB3">
        <w:rPr>
          <w:rFonts w:ascii="DejaVu Serif" w:hAnsi="DejaVu Serif"/>
          <w:color w:val="auto"/>
          <w:sz w:val="20"/>
          <w:szCs w:val="20"/>
          <w:lang w:val="es-CL"/>
        </w:rPr>
        <w:t>(</w:t>
      </w:r>
      <w:r w:rsidR="00D33AAF">
        <w:rPr>
          <w:rFonts w:ascii="DejaVu Serif" w:hAnsi="DejaVu Serif"/>
          <w:color w:val="auto"/>
          <w:sz w:val="20"/>
          <w:szCs w:val="20"/>
          <w:lang w:val="es-CL"/>
        </w:rPr>
        <w:t xml:space="preserve">o </w:t>
      </w:r>
      <w:r w:rsidR="00A06DB3">
        <w:rPr>
          <w:rFonts w:ascii="DejaVu Serif" w:hAnsi="DejaVu Serif"/>
          <w:color w:val="auto"/>
          <w:sz w:val="20"/>
          <w:szCs w:val="20"/>
          <w:lang w:val="es-CL"/>
        </w:rPr>
        <w:t xml:space="preserve">TC) </w:t>
      </w:r>
      <w:r w:rsidRPr="005F41BB">
        <w:rPr>
          <w:rFonts w:ascii="DejaVu Serif" w:hAnsi="DejaVu Serif"/>
          <w:color w:val="auto"/>
          <w:sz w:val="20"/>
          <w:szCs w:val="20"/>
          <w:lang w:val="es-CL"/>
        </w:rPr>
        <w:t>relativas al alcance del inciso segundo del artículo 8° de la Constitución Política</w:t>
      </w:r>
      <w:r w:rsidR="00773EF2">
        <w:rPr>
          <w:rFonts w:ascii="DejaVu Serif" w:hAnsi="DejaVu Serif"/>
          <w:color w:val="auto"/>
          <w:sz w:val="20"/>
          <w:szCs w:val="20"/>
          <w:lang w:val="es-CL"/>
        </w:rPr>
        <w:t xml:space="preserve"> (</w:t>
      </w:r>
      <w:r w:rsidR="00D33AAF">
        <w:rPr>
          <w:rFonts w:ascii="DejaVu Serif" w:hAnsi="DejaVu Serif"/>
          <w:color w:val="auto"/>
          <w:sz w:val="20"/>
          <w:szCs w:val="20"/>
          <w:lang w:val="es-CL"/>
        </w:rPr>
        <w:t xml:space="preserve">o </w:t>
      </w:r>
      <w:r w:rsidR="00773EF2">
        <w:rPr>
          <w:rFonts w:ascii="DejaVu Serif" w:hAnsi="DejaVu Serif"/>
          <w:color w:val="auto"/>
          <w:sz w:val="20"/>
          <w:szCs w:val="20"/>
          <w:lang w:val="es-CL"/>
        </w:rPr>
        <w:t>CPR)</w:t>
      </w:r>
      <w:r w:rsidRPr="005F41BB">
        <w:rPr>
          <w:rFonts w:ascii="DejaVu Serif" w:hAnsi="DejaVu Serif"/>
          <w:color w:val="auto"/>
          <w:sz w:val="20"/>
          <w:szCs w:val="20"/>
          <w:lang w:val="es-CL"/>
        </w:rPr>
        <w:t>, particularmente en relación</w:t>
      </w:r>
      <w:r w:rsidR="00AF4916">
        <w:rPr>
          <w:rFonts w:ascii="DejaVu Serif" w:hAnsi="DejaVu Serif"/>
          <w:color w:val="auto"/>
          <w:sz w:val="20"/>
          <w:szCs w:val="20"/>
          <w:lang w:val="es-CL"/>
        </w:rPr>
        <w:t xml:space="preserve"> al</w:t>
      </w:r>
      <w:r w:rsidRPr="005F41BB">
        <w:rPr>
          <w:rFonts w:ascii="DejaVu Serif" w:hAnsi="DejaVu Serif"/>
          <w:color w:val="auto"/>
          <w:sz w:val="20"/>
          <w:szCs w:val="20"/>
          <w:lang w:val="es-CL"/>
        </w:rPr>
        <w:t xml:space="preserve"> </w:t>
      </w:r>
      <w:r>
        <w:rPr>
          <w:rFonts w:ascii="DejaVu Serif" w:hAnsi="DejaVu Serif"/>
          <w:color w:val="auto"/>
          <w:sz w:val="20"/>
          <w:szCs w:val="20"/>
          <w:lang w:val="es-CL"/>
        </w:rPr>
        <w:t>tenor de</w:t>
      </w:r>
      <w:r w:rsidRPr="005F41BB">
        <w:rPr>
          <w:rFonts w:ascii="DejaVu Serif" w:hAnsi="DejaVu Serif"/>
          <w:color w:val="auto"/>
          <w:sz w:val="20"/>
          <w:szCs w:val="20"/>
          <w:lang w:val="es-CL"/>
        </w:rPr>
        <w:t xml:space="preserve">l inciso segundo del artículo 5 (del artículo 1°) de la Ley N° 20.285 sobre acceso a la información pública. Asimismo, se analiza la doctrina del Sistema Interamericano de Derechos Humanos, </w:t>
      </w:r>
      <w:r>
        <w:rPr>
          <w:rFonts w:ascii="DejaVu Serif" w:hAnsi="DejaVu Serif"/>
          <w:color w:val="auto"/>
          <w:sz w:val="20"/>
          <w:szCs w:val="20"/>
          <w:lang w:val="es-CL"/>
        </w:rPr>
        <w:t>respecto al sentido del</w:t>
      </w:r>
      <w:r w:rsidRPr="005F41BB">
        <w:rPr>
          <w:rFonts w:ascii="DejaVu Serif" w:hAnsi="DejaVu Serif"/>
          <w:color w:val="auto"/>
          <w:sz w:val="20"/>
          <w:szCs w:val="20"/>
          <w:lang w:val="es-CL"/>
        </w:rPr>
        <w:t xml:space="preserve"> derecho de acceso a la información pública y al derecho a buscar y a recibir informaci</w:t>
      </w:r>
      <w:r w:rsidR="00AF4916">
        <w:rPr>
          <w:rFonts w:ascii="DejaVu Serif" w:hAnsi="DejaVu Serif"/>
          <w:color w:val="auto"/>
          <w:sz w:val="20"/>
          <w:szCs w:val="20"/>
          <w:lang w:val="es-CL"/>
        </w:rPr>
        <w:t>ón, en los Instrumentos de Derecho H</w:t>
      </w:r>
      <w:r>
        <w:rPr>
          <w:rFonts w:ascii="DejaVu Serif" w:hAnsi="DejaVu Serif"/>
          <w:color w:val="auto"/>
          <w:sz w:val="20"/>
          <w:szCs w:val="20"/>
          <w:lang w:val="es-CL"/>
        </w:rPr>
        <w:t>umanos, sentencias de la Corte Interamericana de Derechos Humanos, la Ley Modelo Interamericana sobre Acceso a la Información Pública y</w:t>
      </w:r>
      <w:r w:rsidR="00AF4916">
        <w:rPr>
          <w:rFonts w:ascii="DejaVu Serif" w:hAnsi="DejaVu Serif"/>
          <w:color w:val="auto"/>
          <w:sz w:val="20"/>
          <w:szCs w:val="20"/>
          <w:lang w:val="es-CL"/>
        </w:rPr>
        <w:t xml:space="preserve"> en A</w:t>
      </w:r>
      <w:r>
        <w:rPr>
          <w:rFonts w:ascii="DejaVu Serif" w:hAnsi="DejaVu Serif"/>
          <w:color w:val="auto"/>
          <w:sz w:val="20"/>
          <w:szCs w:val="20"/>
          <w:lang w:val="es-CL"/>
        </w:rPr>
        <w:t>cuerdos de la Asamblea General de la Organización de Estados Americanos.</w:t>
      </w:r>
    </w:p>
    <w:p w14:paraId="38A80971" w14:textId="77777777" w:rsidR="00C21635" w:rsidRDefault="00C21635" w:rsidP="00C21635">
      <w:pPr>
        <w:spacing w:after="0"/>
        <w:jc w:val="both"/>
        <w:rPr>
          <w:rFonts w:ascii="DejaVu Serif" w:hAnsi="DejaVu Serif"/>
          <w:color w:val="auto"/>
          <w:sz w:val="20"/>
          <w:szCs w:val="20"/>
          <w:lang w:val="es-CL"/>
        </w:rPr>
      </w:pPr>
    </w:p>
    <w:p w14:paraId="21A7AD37" w14:textId="71E7510A" w:rsidR="00773EF2" w:rsidRDefault="00773EF2" w:rsidP="00C21635">
      <w:pPr>
        <w:spacing w:after="0"/>
        <w:jc w:val="both"/>
        <w:rPr>
          <w:rFonts w:ascii="DejaVu Serif" w:hAnsi="DejaVu Serif"/>
          <w:color w:val="auto"/>
          <w:sz w:val="20"/>
          <w:szCs w:val="20"/>
          <w:lang w:val="es-CL"/>
        </w:rPr>
      </w:pPr>
      <w:r>
        <w:rPr>
          <w:rFonts w:ascii="DejaVu Serif" w:hAnsi="DejaVu Serif"/>
          <w:color w:val="auto"/>
          <w:sz w:val="20"/>
          <w:szCs w:val="20"/>
          <w:lang w:val="es-CL"/>
        </w:rPr>
        <w:t xml:space="preserve">Se explicita que se utiliza el concepto </w:t>
      </w:r>
      <w:r w:rsidR="00AF4916">
        <w:rPr>
          <w:rFonts w:ascii="DejaVu Serif" w:hAnsi="DejaVu Serif"/>
          <w:color w:val="auto"/>
          <w:sz w:val="20"/>
          <w:szCs w:val="20"/>
          <w:lang w:val="es-CL"/>
        </w:rPr>
        <w:t>P</w:t>
      </w:r>
      <w:r>
        <w:rPr>
          <w:rFonts w:ascii="DejaVu Serif" w:hAnsi="DejaVu Serif"/>
          <w:color w:val="auto"/>
          <w:sz w:val="20"/>
          <w:szCs w:val="20"/>
          <w:lang w:val="es-CL"/>
        </w:rPr>
        <w:t xml:space="preserve">rincipio de publicidad </w:t>
      </w:r>
      <w:r w:rsidR="00257DB7">
        <w:rPr>
          <w:rFonts w:ascii="DejaVu Serif" w:hAnsi="DejaVu Serif"/>
          <w:color w:val="auto"/>
          <w:sz w:val="20"/>
          <w:szCs w:val="20"/>
          <w:lang w:val="es-CL"/>
        </w:rPr>
        <w:t xml:space="preserve">constitucional </w:t>
      </w:r>
      <w:r w:rsidR="00885AA6">
        <w:rPr>
          <w:rFonts w:ascii="DejaVu Serif" w:hAnsi="DejaVu Serif"/>
          <w:color w:val="auto"/>
          <w:sz w:val="20"/>
          <w:szCs w:val="20"/>
          <w:lang w:val="es-CL"/>
        </w:rPr>
        <w:t xml:space="preserve">(publicidad y transparencia según la doctrina) </w:t>
      </w:r>
      <w:r>
        <w:rPr>
          <w:rFonts w:ascii="DejaVu Serif" w:hAnsi="DejaVu Serif"/>
          <w:color w:val="auto"/>
          <w:sz w:val="20"/>
          <w:szCs w:val="20"/>
          <w:lang w:val="es-CL"/>
        </w:rPr>
        <w:t>referido al tenor del inciso segundo del artículo 8° de la Constitución Política</w:t>
      </w:r>
      <w:r w:rsidR="00257DB7">
        <w:rPr>
          <w:rFonts w:ascii="DejaVu Serif" w:hAnsi="DejaVu Serif"/>
          <w:color w:val="auto"/>
          <w:sz w:val="20"/>
          <w:szCs w:val="20"/>
          <w:lang w:val="es-CL"/>
        </w:rPr>
        <w:t>, aun cuando esta norma no señala expresamente que es un principio</w:t>
      </w:r>
      <w:r>
        <w:rPr>
          <w:rFonts w:ascii="DejaVu Serif" w:hAnsi="DejaVu Serif"/>
          <w:color w:val="auto"/>
          <w:sz w:val="20"/>
          <w:szCs w:val="20"/>
          <w:lang w:val="es-CL"/>
        </w:rPr>
        <w:t xml:space="preserve">. Por su parte, se entiende que es derecho de acceso a la información pública, aquel reconocido en el artículo 5°, del artículo primero, de la Ley N° 20.285 y en la Ley Modelo Interamericana sobre acceso a la información pública (disposición referida a acceso y finalidad). </w:t>
      </w:r>
      <w:r w:rsidR="00856C48">
        <w:rPr>
          <w:rFonts w:ascii="DejaVu Serif" w:hAnsi="DejaVu Serif"/>
          <w:color w:val="auto"/>
          <w:sz w:val="20"/>
          <w:szCs w:val="20"/>
          <w:lang w:val="es-CL"/>
        </w:rPr>
        <w:t>Este principio y el derecho,</w:t>
      </w:r>
      <w:r>
        <w:rPr>
          <w:rFonts w:ascii="DejaVu Serif" w:hAnsi="DejaVu Serif"/>
          <w:color w:val="auto"/>
          <w:sz w:val="20"/>
          <w:szCs w:val="20"/>
          <w:lang w:val="es-CL"/>
        </w:rPr>
        <w:t xml:space="preserve"> en su contenido, como se verá</w:t>
      </w:r>
      <w:r w:rsidR="00856C48">
        <w:rPr>
          <w:rFonts w:ascii="DejaVu Serif" w:hAnsi="DejaVu Serif"/>
          <w:color w:val="auto"/>
          <w:sz w:val="20"/>
          <w:szCs w:val="20"/>
          <w:lang w:val="es-CL"/>
        </w:rPr>
        <w:t>,</w:t>
      </w:r>
      <w:r>
        <w:rPr>
          <w:rFonts w:ascii="DejaVu Serif" w:hAnsi="DejaVu Serif"/>
          <w:color w:val="auto"/>
          <w:sz w:val="20"/>
          <w:szCs w:val="20"/>
          <w:lang w:val="es-CL"/>
        </w:rPr>
        <w:t xml:space="preserve"> ha</w:t>
      </w:r>
      <w:r w:rsidR="00856C48">
        <w:rPr>
          <w:rFonts w:ascii="DejaVu Serif" w:hAnsi="DejaVu Serif"/>
          <w:color w:val="auto"/>
          <w:sz w:val="20"/>
          <w:szCs w:val="20"/>
          <w:lang w:val="es-CL"/>
        </w:rPr>
        <w:t>n</w:t>
      </w:r>
      <w:r>
        <w:rPr>
          <w:rFonts w:ascii="DejaVu Serif" w:hAnsi="DejaVu Serif"/>
          <w:color w:val="auto"/>
          <w:sz w:val="20"/>
          <w:szCs w:val="20"/>
          <w:lang w:val="es-CL"/>
        </w:rPr>
        <w:t xml:space="preserve"> sido </w:t>
      </w:r>
      <w:r w:rsidR="00856C48">
        <w:rPr>
          <w:rFonts w:ascii="DejaVu Serif" w:hAnsi="DejaVu Serif"/>
          <w:color w:val="auto"/>
          <w:sz w:val="20"/>
          <w:szCs w:val="20"/>
          <w:lang w:val="es-CL"/>
        </w:rPr>
        <w:t>entendidos</w:t>
      </w:r>
      <w:r>
        <w:rPr>
          <w:rFonts w:ascii="DejaVu Serif" w:hAnsi="DejaVu Serif"/>
          <w:color w:val="auto"/>
          <w:sz w:val="20"/>
          <w:szCs w:val="20"/>
          <w:lang w:val="es-CL"/>
        </w:rPr>
        <w:t xml:space="preserve"> de manera </w:t>
      </w:r>
      <w:r w:rsidR="00856C48">
        <w:rPr>
          <w:rFonts w:ascii="DejaVu Serif" w:hAnsi="DejaVu Serif"/>
          <w:color w:val="auto"/>
          <w:sz w:val="20"/>
          <w:szCs w:val="20"/>
          <w:lang w:val="es-CL"/>
        </w:rPr>
        <w:t>diversa</w:t>
      </w:r>
      <w:r>
        <w:rPr>
          <w:rFonts w:ascii="DejaVu Serif" w:hAnsi="DejaVu Serif"/>
          <w:color w:val="auto"/>
          <w:sz w:val="20"/>
          <w:szCs w:val="20"/>
          <w:lang w:val="es-CL"/>
        </w:rPr>
        <w:t xml:space="preserve">. </w:t>
      </w:r>
    </w:p>
    <w:p w14:paraId="217F1084" w14:textId="77777777" w:rsidR="00C21635" w:rsidRDefault="00C21635" w:rsidP="00C21635">
      <w:pPr>
        <w:spacing w:after="0"/>
        <w:jc w:val="both"/>
        <w:rPr>
          <w:rFonts w:ascii="DejaVu Serif" w:hAnsi="DejaVu Serif"/>
          <w:color w:val="auto"/>
          <w:sz w:val="20"/>
          <w:szCs w:val="20"/>
          <w:lang w:val="es-CL"/>
        </w:rPr>
      </w:pPr>
    </w:p>
    <w:p w14:paraId="3AA38183" w14:textId="16E5327E" w:rsidR="00A06DB3" w:rsidRDefault="00AF4916" w:rsidP="00C21635">
      <w:pPr>
        <w:spacing w:after="0"/>
        <w:jc w:val="both"/>
        <w:rPr>
          <w:rFonts w:ascii="DejaVu Serif" w:hAnsi="DejaVu Serif"/>
          <w:color w:val="auto"/>
          <w:sz w:val="20"/>
          <w:szCs w:val="20"/>
          <w:lang w:val="es-CL"/>
        </w:rPr>
      </w:pPr>
      <w:r>
        <w:rPr>
          <w:rFonts w:ascii="DejaVu Serif" w:hAnsi="DejaVu Serif"/>
          <w:color w:val="auto"/>
          <w:sz w:val="20"/>
          <w:szCs w:val="20"/>
          <w:lang w:val="es-CL"/>
        </w:rPr>
        <w:t>Se hace presente</w:t>
      </w:r>
      <w:r w:rsidR="00A06DB3">
        <w:rPr>
          <w:rFonts w:ascii="DejaVu Serif" w:hAnsi="DejaVu Serif"/>
          <w:color w:val="auto"/>
          <w:sz w:val="20"/>
          <w:szCs w:val="20"/>
          <w:lang w:val="es-CL"/>
        </w:rPr>
        <w:t xml:space="preserve"> que el tenor del inciso segundo del artículo 8° de la CPR es</w:t>
      </w:r>
      <w:r>
        <w:rPr>
          <w:rFonts w:ascii="DejaVu Serif" w:hAnsi="DejaVu Serif"/>
          <w:color w:val="auto"/>
          <w:sz w:val="20"/>
          <w:szCs w:val="20"/>
          <w:lang w:val="es-CL"/>
        </w:rPr>
        <w:t xml:space="preserve"> el siguiente</w:t>
      </w:r>
      <w:r w:rsidR="00A06DB3">
        <w:rPr>
          <w:rFonts w:ascii="DejaVu Serif" w:hAnsi="DejaVu Serif"/>
          <w:color w:val="auto"/>
          <w:sz w:val="20"/>
          <w:szCs w:val="20"/>
          <w:lang w:val="es-CL"/>
        </w:rPr>
        <w:t xml:space="preserve">, </w:t>
      </w:r>
    </w:p>
    <w:p w14:paraId="22A950FA" w14:textId="77777777" w:rsidR="00C21635" w:rsidRDefault="00C21635" w:rsidP="00C21635">
      <w:pPr>
        <w:spacing w:after="0"/>
        <w:jc w:val="both"/>
        <w:rPr>
          <w:rFonts w:ascii="DejaVu Serif" w:hAnsi="DejaVu Serif"/>
          <w:color w:val="auto"/>
          <w:sz w:val="20"/>
          <w:szCs w:val="20"/>
          <w:lang w:val="es-CL"/>
        </w:rPr>
      </w:pPr>
    </w:p>
    <w:p w14:paraId="22CE37BF" w14:textId="77777777" w:rsidR="00A06DB3" w:rsidRDefault="00A06DB3" w:rsidP="00C21635">
      <w:pPr>
        <w:spacing w:after="0"/>
        <w:ind w:left="567"/>
        <w:jc w:val="both"/>
        <w:rPr>
          <w:rFonts w:ascii="DejaVu Serif" w:hAnsi="DejaVu Serif"/>
          <w:color w:val="auto"/>
          <w:sz w:val="20"/>
          <w:lang w:val="es-CL"/>
        </w:rPr>
      </w:pPr>
      <w:r w:rsidRPr="002A4ACB">
        <w:rPr>
          <w:rFonts w:ascii="DejaVu Serif" w:hAnsi="DejaVu Serif"/>
          <w:color w:val="auto"/>
          <w:sz w:val="20"/>
          <w:lang w:val="es-CL"/>
        </w:rPr>
        <w:t>Son públicos los actos y resoluciones de los órganos del Estado, así como sus fundamentos y los procedimientos que utilicen. Sin embargo, sólo una ley de quórum calificado podrá establecer la reserva o secreto de aquéllos o de éstos, cuando la publicidad afectare el debido cumplimiento de las funciones de dichos órganos, los derechos de las personas, la seguridad de la Nación o el interés nacional.</w:t>
      </w:r>
    </w:p>
    <w:p w14:paraId="54944310" w14:textId="77777777" w:rsidR="00C21635" w:rsidRDefault="00C21635" w:rsidP="00C21635">
      <w:pPr>
        <w:spacing w:after="0"/>
        <w:jc w:val="both"/>
        <w:rPr>
          <w:rFonts w:ascii="DejaVu Serif" w:hAnsi="DejaVu Serif"/>
          <w:color w:val="auto"/>
          <w:sz w:val="20"/>
          <w:lang w:val="es-CL"/>
        </w:rPr>
      </w:pPr>
    </w:p>
    <w:p w14:paraId="73FCDFF2" w14:textId="71CEDBF2" w:rsidR="00A06DB3" w:rsidRDefault="00A06DB3" w:rsidP="00C21635">
      <w:pPr>
        <w:spacing w:after="0"/>
        <w:jc w:val="both"/>
        <w:rPr>
          <w:rFonts w:ascii="DejaVu Serif" w:hAnsi="DejaVu Serif"/>
          <w:color w:val="auto"/>
          <w:sz w:val="20"/>
          <w:lang w:val="es-CL"/>
        </w:rPr>
      </w:pPr>
      <w:r>
        <w:rPr>
          <w:rFonts w:ascii="DejaVu Serif" w:hAnsi="DejaVu Serif"/>
          <w:color w:val="auto"/>
          <w:sz w:val="20"/>
          <w:lang w:val="es-CL"/>
        </w:rPr>
        <w:t>Luego, el texto del artículo 5 del artículo primero de la Ley N° 20.285 es</w:t>
      </w:r>
      <w:r w:rsidR="00AF4916">
        <w:rPr>
          <w:rFonts w:ascii="DejaVu Serif" w:hAnsi="DejaVu Serif"/>
          <w:color w:val="auto"/>
          <w:sz w:val="20"/>
          <w:lang w:val="es-CL"/>
        </w:rPr>
        <w:t xml:space="preserve"> el siguiente</w:t>
      </w:r>
    </w:p>
    <w:p w14:paraId="56DD9826" w14:textId="77777777" w:rsidR="00C21635" w:rsidRDefault="00C21635" w:rsidP="00C21635">
      <w:pPr>
        <w:spacing w:after="0"/>
        <w:jc w:val="both"/>
        <w:rPr>
          <w:rFonts w:ascii="DejaVu Serif" w:hAnsi="DejaVu Serif"/>
          <w:color w:val="auto"/>
          <w:sz w:val="20"/>
          <w:lang w:val="es-CL"/>
        </w:rPr>
      </w:pPr>
    </w:p>
    <w:p w14:paraId="066C0758" w14:textId="77777777" w:rsidR="00A06DB3" w:rsidRPr="00A06DB3" w:rsidRDefault="00A06DB3" w:rsidP="00C21635">
      <w:pPr>
        <w:spacing w:after="0"/>
        <w:ind w:left="567"/>
        <w:jc w:val="both"/>
        <w:rPr>
          <w:rFonts w:ascii="DejaVu Serif" w:hAnsi="DejaVu Serif"/>
          <w:sz w:val="20"/>
          <w:szCs w:val="20"/>
          <w:lang w:val="es-CL"/>
        </w:rPr>
      </w:pPr>
      <w:r w:rsidRPr="00A06DB3">
        <w:rPr>
          <w:rFonts w:ascii="DejaVu Serif" w:hAnsi="DejaVu Serif"/>
          <w:sz w:val="20"/>
          <w:szCs w:val="20"/>
          <w:lang w:val="es-CL"/>
        </w:rPr>
        <w:t xml:space="preserve">Artículo 5°.- En virtud del principio de transparencia de la función pública, los actos y resoluciones de los órganos de la Administración del Estado, sus fundamentos, los documentos que les sirvan </w:t>
      </w:r>
      <w:r w:rsidRPr="00A06DB3">
        <w:rPr>
          <w:rFonts w:ascii="DejaVu Serif" w:hAnsi="DejaVu Serif"/>
          <w:sz w:val="20"/>
          <w:szCs w:val="20"/>
          <w:lang w:val="es-CL"/>
        </w:rPr>
        <w:t>de sustento o complemento directo y esencial, y los procedimientos que se utilicen para su dictación, son públicos, salvo las excepciones que establece esta ley y las previstas en otras leyes de quórum calificado.</w:t>
      </w:r>
    </w:p>
    <w:p w14:paraId="79626A05" w14:textId="77777777" w:rsidR="00A06DB3" w:rsidRDefault="00A06DB3" w:rsidP="00C21635">
      <w:pPr>
        <w:spacing w:after="0"/>
        <w:ind w:left="567"/>
        <w:jc w:val="both"/>
        <w:rPr>
          <w:rFonts w:ascii="DejaVu Serif" w:hAnsi="DejaVu Serif"/>
          <w:sz w:val="20"/>
          <w:szCs w:val="20"/>
          <w:lang w:val="es-CL"/>
        </w:rPr>
      </w:pPr>
      <w:r w:rsidRPr="00A06DB3">
        <w:rPr>
          <w:rFonts w:ascii="DejaVu Serif" w:hAnsi="DejaVu Serif"/>
          <w:sz w:val="20"/>
          <w:szCs w:val="20"/>
          <w:lang w:val="es-CL"/>
        </w:rPr>
        <w:t>Asimismo, es pública la información elaborada con presupuesto público y toda otra información que obre en poder de los órganos de la Administración, cualquiera sea su formato, soporte, fecha de creación, origen, clasificación o procesamiento, a menos que esté sujeta a las excepciones señaladas.</w:t>
      </w:r>
    </w:p>
    <w:p w14:paraId="0E22D3C2" w14:textId="77777777" w:rsidR="00C21635" w:rsidRPr="00A06DB3" w:rsidRDefault="00C21635" w:rsidP="00C21635">
      <w:pPr>
        <w:spacing w:after="0"/>
        <w:ind w:left="567"/>
        <w:jc w:val="both"/>
        <w:rPr>
          <w:rFonts w:ascii="DejaVu Serif" w:hAnsi="DejaVu Serif"/>
          <w:sz w:val="20"/>
          <w:szCs w:val="20"/>
          <w:lang w:val="es-CL"/>
        </w:rPr>
      </w:pPr>
    </w:p>
    <w:p w14:paraId="54041F76" w14:textId="77777777" w:rsidR="00856C48" w:rsidRDefault="00856C48" w:rsidP="00C21635">
      <w:pPr>
        <w:spacing w:after="0"/>
        <w:jc w:val="both"/>
        <w:rPr>
          <w:rFonts w:ascii="DejaVu Serif" w:hAnsi="DejaVu Serif"/>
          <w:color w:val="auto"/>
          <w:sz w:val="20"/>
          <w:szCs w:val="20"/>
          <w:lang w:val="es-CL"/>
        </w:rPr>
      </w:pPr>
      <w:r>
        <w:rPr>
          <w:rFonts w:ascii="DejaVu Serif" w:hAnsi="DejaVu Serif"/>
          <w:color w:val="auto"/>
          <w:sz w:val="20"/>
          <w:szCs w:val="20"/>
          <w:lang w:val="es-CL"/>
        </w:rPr>
        <w:t>Las sentencias, instrumentos, ley modelo y acuerdos han sido obtenidos desde los sitios web del Tribunal Constitucional y/o de la Organización de Estados Americanos y la Corte Interamericana de Derechos Humanos.</w:t>
      </w:r>
    </w:p>
    <w:p w14:paraId="692266CE" w14:textId="77777777" w:rsidR="00C21635" w:rsidRDefault="00C21635" w:rsidP="00C21635">
      <w:pPr>
        <w:spacing w:after="0"/>
        <w:jc w:val="both"/>
        <w:rPr>
          <w:rFonts w:ascii="DejaVu Serif" w:hAnsi="DejaVu Serif"/>
          <w:color w:val="auto"/>
          <w:sz w:val="20"/>
          <w:szCs w:val="20"/>
          <w:lang w:val="es-CL"/>
        </w:rPr>
      </w:pPr>
    </w:p>
    <w:p w14:paraId="0D5E65B6" w14:textId="77777777" w:rsidR="00414E56" w:rsidRPr="006B5C98" w:rsidRDefault="00414E56" w:rsidP="006C550E">
      <w:pPr>
        <w:pStyle w:val="Normal2"/>
        <w:numPr>
          <w:ilvl w:val="0"/>
          <w:numId w:val="12"/>
        </w:numPr>
        <w:tabs>
          <w:tab w:val="left" w:pos="0"/>
          <w:tab w:val="left" w:pos="709"/>
          <w:tab w:val="left" w:pos="2835"/>
        </w:tabs>
        <w:ind w:left="709" w:hanging="709"/>
        <w:contextualSpacing w:val="0"/>
        <w:jc w:val="both"/>
        <w:rPr>
          <w:rFonts w:ascii="DejaVu Serif" w:eastAsia="EB Garamond" w:hAnsi="DejaVu Serif"/>
          <w:b/>
          <w:color w:val="auto"/>
          <w:szCs w:val="24"/>
        </w:rPr>
      </w:pPr>
      <w:r w:rsidRPr="006B5C98">
        <w:rPr>
          <w:rFonts w:ascii="DejaVu Serif" w:eastAsia="EB Garamond" w:hAnsi="DejaVu Serif"/>
          <w:b/>
          <w:color w:val="auto"/>
          <w:szCs w:val="24"/>
        </w:rPr>
        <w:t>Tribunal Constitucional</w:t>
      </w:r>
    </w:p>
    <w:p w14:paraId="79709C6E" w14:textId="77777777" w:rsidR="00414E56" w:rsidRDefault="00414E56" w:rsidP="00414E56">
      <w:pPr>
        <w:pStyle w:val="Normal2"/>
        <w:tabs>
          <w:tab w:val="left" w:pos="0"/>
          <w:tab w:val="left" w:pos="2835"/>
        </w:tabs>
        <w:contextualSpacing w:val="0"/>
        <w:jc w:val="both"/>
        <w:rPr>
          <w:rFonts w:ascii="DejaVu Serif" w:eastAsia="EB Garamond" w:hAnsi="DejaVu Serif"/>
          <w:color w:val="auto"/>
          <w:sz w:val="20"/>
        </w:rPr>
      </w:pPr>
    </w:p>
    <w:p w14:paraId="32A888F5" w14:textId="27D8BA64" w:rsidR="00414E56" w:rsidRDefault="00414E56" w:rsidP="00C21635">
      <w:pPr>
        <w:pStyle w:val="Normal2"/>
        <w:tabs>
          <w:tab w:val="left" w:pos="0"/>
          <w:tab w:val="left" w:pos="2835"/>
        </w:tabs>
        <w:contextualSpacing w:val="0"/>
        <w:jc w:val="both"/>
        <w:rPr>
          <w:rFonts w:ascii="DejaVu Serif" w:eastAsia="EB Garamond" w:hAnsi="DejaVu Serif"/>
          <w:color w:val="auto"/>
          <w:sz w:val="20"/>
        </w:rPr>
      </w:pPr>
      <w:r w:rsidRPr="00F972FD">
        <w:rPr>
          <w:rFonts w:ascii="DejaVu Serif" w:eastAsia="EB Garamond" w:hAnsi="DejaVu Serif"/>
          <w:color w:val="auto"/>
          <w:sz w:val="20"/>
        </w:rPr>
        <w:t xml:space="preserve">El Tribunal Constitucional se ha pronunciado, a propósito de diversos recursos de inaplicabilidad por inconstitucionalidad, sobre el objeto del </w:t>
      </w:r>
      <w:r>
        <w:rPr>
          <w:rFonts w:ascii="DejaVu Serif" w:eastAsia="EB Garamond" w:hAnsi="DejaVu Serif"/>
          <w:color w:val="auto"/>
          <w:sz w:val="20"/>
        </w:rPr>
        <w:t xml:space="preserve">inciso segundo </w:t>
      </w:r>
      <w:r w:rsidRPr="00F972FD">
        <w:rPr>
          <w:rFonts w:ascii="DejaVu Serif" w:eastAsia="EB Garamond" w:hAnsi="DejaVu Serif"/>
          <w:color w:val="auto"/>
          <w:sz w:val="20"/>
        </w:rPr>
        <w:t>del artículo 8° de la C</w:t>
      </w:r>
      <w:r>
        <w:rPr>
          <w:rFonts w:ascii="DejaVu Serif" w:eastAsia="EB Garamond" w:hAnsi="DejaVu Serif"/>
          <w:color w:val="auto"/>
          <w:sz w:val="20"/>
        </w:rPr>
        <w:t xml:space="preserve">onstitución </w:t>
      </w:r>
      <w:r w:rsidRPr="00F972FD">
        <w:rPr>
          <w:rFonts w:ascii="DejaVu Serif" w:eastAsia="EB Garamond" w:hAnsi="DejaVu Serif"/>
          <w:color w:val="auto"/>
          <w:sz w:val="20"/>
        </w:rPr>
        <w:t>P</w:t>
      </w:r>
      <w:r>
        <w:rPr>
          <w:rFonts w:ascii="DejaVu Serif" w:eastAsia="EB Garamond" w:hAnsi="DejaVu Serif"/>
          <w:color w:val="auto"/>
          <w:sz w:val="20"/>
        </w:rPr>
        <w:t>olítica</w:t>
      </w:r>
      <w:r w:rsidR="00A06DB3">
        <w:rPr>
          <w:rFonts w:ascii="DejaVu Serif" w:eastAsia="EB Garamond" w:hAnsi="DejaVu Serif"/>
          <w:color w:val="auto"/>
          <w:sz w:val="20"/>
        </w:rPr>
        <w:t>.</w:t>
      </w:r>
    </w:p>
    <w:p w14:paraId="7381261F" w14:textId="77777777" w:rsidR="00A06DB3" w:rsidRPr="002A4ACB" w:rsidRDefault="00A06DB3" w:rsidP="00C21635">
      <w:pPr>
        <w:pStyle w:val="Normal2"/>
        <w:tabs>
          <w:tab w:val="left" w:pos="0"/>
          <w:tab w:val="left" w:pos="2835"/>
        </w:tabs>
        <w:contextualSpacing w:val="0"/>
        <w:jc w:val="both"/>
        <w:rPr>
          <w:rFonts w:ascii="DejaVu Serif" w:eastAsia="EB Garamond" w:hAnsi="DejaVu Serif"/>
          <w:color w:val="auto"/>
          <w:sz w:val="20"/>
        </w:rPr>
      </w:pPr>
    </w:p>
    <w:p w14:paraId="2FE36DB4" w14:textId="03F8F03E" w:rsidR="00885AA6" w:rsidRDefault="00A06DB3" w:rsidP="00C21635">
      <w:pPr>
        <w:spacing w:after="0"/>
        <w:jc w:val="both"/>
        <w:rPr>
          <w:rFonts w:ascii="DejaVu Serif" w:hAnsi="DejaVu Serif"/>
          <w:sz w:val="20"/>
          <w:szCs w:val="20"/>
          <w:lang w:val="es-CL"/>
        </w:rPr>
      </w:pPr>
      <w:r w:rsidRPr="004138D4">
        <w:rPr>
          <w:rFonts w:ascii="DejaVu Serif" w:hAnsi="DejaVu Serif"/>
          <w:sz w:val="20"/>
          <w:szCs w:val="20"/>
          <w:lang w:val="es-CL"/>
        </w:rPr>
        <w:t>En primer lugar,</w:t>
      </w:r>
      <w:r w:rsidR="00AF4916" w:rsidRPr="004138D4">
        <w:rPr>
          <w:rFonts w:ascii="DejaVu Serif" w:hAnsi="DejaVu Serif"/>
          <w:sz w:val="20"/>
          <w:szCs w:val="20"/>
          <w:lang w:val="es-CL"/>
        </w:rPr>
        <w:t xml:space="preserve"> cabe reseñar que</w:t>
      </w:r>
      <w:r w:rsidRPr="004138D4">
        <w:rPr>
          <w:rFonts w:ascii="DejaVu Serif" w:hAnsi="DejaVu Serif"/>
          <w:sz w:val="20"/>
          <w:szCs w:val="20"/>
          <w:lang w:val="es-CL"/>
        </w:rPr>
        <w:t xml:space="preserve"> p</w:t>
      </w:r>
      <w:r w:rsidR="00885AA6" w:rsidRPr="004138D4">
        <w:rPr>
          <w:rFonts w:ascii="DejaVu Serif" w:hAnsi="DejaVu Serif"/>
          <w:sz w:val="20"/>
          <w:szCs w:val="20"/>
          <w:lang w:val="es-CL"/>
        </w:rPr>
        <w:t>ara Zapata</w:t>
      </w:r>
      <w:r w:rsidR="00AF4916" w:rsidRPr="004138D4">
        <w:rPr>
          <w:rFonts w:ascii="DejaVu Serif" w:hAnsi="DejaVu Serif"/>
          <w:sz w:val="20"/>
          <w:szCs w:val="20"/>
          <w:lang w:val="es-CL"/>
        </w:rPr>
        <w:t xml:space="preserve"> (2014)</w:t>
      </w:r>
      <w:r w:rsidR="00885AA6" w:rsidRPr="004138D4">
        <w:rPr>
          <w:rFonts w:ascii="DejaVu Serif" w:hAnsi="DejaVu Serif"/>
          <w:sz w:val="20"/>
          <w:szCs w:val="20"/>
          <w:lang w:val="es-CL"/>
        </w:rPr>
        <w:t>, la actual norma del inciso segundo del art. 8° consagra en nuestro ordenamiento jurídico, y con rango constitucional, dos principios: el de publicidad y el de transparencia. El primero, se configuraría como una obligación de los órganos del Estado, unida al imperativo de dar a conocer sus actos de decisión. El segundo, se vincularía  a los procedimientos, contenidos y fundamentos de estos actos, lo que se asocia al derecho de las personas a ser informadas.</w:t>
      </w:r>
    </w:p>
    <w:p w14:paraId="488174CB" w14:textId="77777777" w:rsidR="00C21635" w:rsidRPr="004138D4" w:rsidRDefault="00C21635" w:rsidP="00C21635">
      <w:pPr>
        <w:spacing w:after="0"/>
        <w:jc w:val="both"/>
        <w:rPr>
          <w:rFonts w:ascii="DejaVu Serif" w:hAnsi="DejaVu Serif"/>
          <w:sz w:val="20"/>
          <w:szCs w:val="20"/>
          <w:lang w:val="es-CL"/>
        </w:rPr>
      </w:pPr>
    </w:p>
    <w:p w14:paraId="1154D881" w14:textId="35F6C0F7" w:rsidR="00414E56" w:rsidRPr="002A4ACB" w:rsidRDefault="00414E56" w:rsidP="00C21635">
      <w:pPr>
        <w:pStyle w:val="Normal2"/>
        <w:tabs>
          <w:tab w:val="left" w:pos="0"/>
          <w:tab w:val="left" w:pos="2835"/>
        </w:tabs>
        <w:contextualSpacing w:val="0"/>
        <w:jc w:val="both"/>
        <w:rPr>
          <w:rFonts w:ascii="DejaVu Serif" w:eastAsia="EB Garamond" w:hAnsi="DejaVu Serif"/>
          <w:color w:val="auto"/>
          <w:sz w:val="20"/>
        </w:rPr>
      </w:pPr>
      <w:r w:rsidRPr="002A4ACB">
        <w:rPr>
          <w:rFonts w:ascii="DejaVu Serif" w:eastAsia="EB Garamond" w:hAnsi="DejaVu Serif"/>
          <w:color w:val="auto"/>
          <w:sz w:val="20"/>
        </w:rPr>
        <w:t>Para entender la doctrina del Tribunal Constitucional sobre el alcance de estos</w:t>
      </w:r>
      <w:r w:rsidR="00613C29">
        <w:rPr>
          <w:rFonts w:ascii="DejaVu Serif" w:eastAsia="EB Garamond" w:hAnsi="DejaVu Serif"/>
          <w:color w:val="auto"/>
          <w:sz w:val="20"/>
        </w:rPr>
        <w:t xml:space="preserve"> principios se han seleccionado las siguientes decisiones,</w:t>
      </w:r>
      <w:r w:rsidRPr="002A4ACB">
        <w:rPr>
          <w:rFonts w:ascii="DejaVu Serif" w:eastAsia="EB Garamond" w:hAnsi="DejaVu Serif"/>
          <w:color w:val="auto"/>
          <w:sz w:val="20"/>
        </w:rPr>
        <w:t xml:space="preserve"> las que se estiman son las sentencias que fijan o reiteran una doctrina sobre la materia y que son las causas por recurso de inaplicabilidad roles 1.990-2011, 2.153-2011, 2.246-2012, 2.379-2012, 2.351-2012, 2.907-16 y 3.111-2016. </w:t>
      </w:r>
    </w:p>
    <w:p w14:paraId="7F027B78" w14:textId="77777777" w:rsidR="00414E56" w:rsidRPr="002A4ACB" w:rsidRDefault="00414E56" w:rsidP="00C21635">
      <w:pPr>
        <w:pStyle w:val="Normal2"/>
        <w:tabs>
          <w:tab w:val="left" w:pos="0"/>
          <w:tab w:val="left" w:pos="2835"/>
        </w:tabs>
        <w:contextualSpacing w:val="0"/>
        <w:jc w:val="both"/>
        <w:rPr>
          <w:rFonts w:ascii="DejaVu Serif" w:eastAsia="EB Garamond" w:hAnsi="DejaVu Serif"/>
          <w:color w:val="auto"/>
          <w:sz w:val="20"/>
        </w:rPr>
      </w:pPr>
    </w:p>
    <w:p w14:paraId="1D479AB0" w14:textId="20006CA0" w:rsidR="00414E56" w:rsidRPr="002A4ACB" w:rsidRDefault="00414E56" w:rsidP="00C21635">
      <w:pPr>
        <w:pStyle w:val="Normal2"/>
        <w:tabs>
          <w:tab w:val="left" w:pos="0"/>
          <w:tab w:val="left" w:pos="2835"/>
        </w:tabs>
        <w:contextualSpacing w:val="0"/>
        <w:jc w:val="both"/>
        <w:rPr>
          <w:rFonts w:ascii="DejaVu Serif" w:hAnsi="DejaVu Serif"/>
          <w:color w:val="auto"/>
          <w:sz w:val="20"/>
        </w:rPr>
      </w:pPr>
      <w:r w:rsidRPr="002A4ACB">
        <w:rPr>
          <w:rFonts w:ascii="DejaVu Serif" w:eastAsia="EB Garamond" w:hAnsi="DejaVu Serif"/>
          <w:color w:val="auto"/>
          <w:sz w:val="20"/>
        </w:rPr>
        <w:t>Al respecto, cabe hacer presente</w:t>
      </w:r>
      <w:r w:rsidR="00AF4916">
        <w:rPr>
          <w:rFonts w:ascii="DejaVu Serif" w:eastAsia="EB Garamond" w:hAnsi="DejaVu Serif"/>
          <w:color w:val="auto"/>
          <w:sz w:val="20"/>
        </w:rPr>
        <w:t xml:space="preserve"> asimismo</w:t>
      </w:r>
      <w:r w:rsidRPr="002A4ACB">
        <w:rPr>
          <w:rFonts w:ascii="DejaVu Serif" w:eastAsia="EB Garamond" w:hAnsi="DejaVu Serif"/>
          <w:color w:val="auto"/>
          <w:sz w:val="20"/>
        </w:rPr>
        <w:t xml:space="preserve"> que en la sentencia de la causa rol 2.505-2013, el Tribunal Constitucional por única vez resolvió en sentido contrario a la doctrina reseñada precedentemente.</w:t>
      </w:r>
    </w:p>
    <w:p w14:paraId="5F062196" w14:textId="77777777" w:rsidR="00414E56" w:rsidRPr="002A4ACB" w:rsidRDefault="00414E56" w:rsidP="00C21635">
      <w:pPr>
        <w:pStyle w:val="Normal1"/>
        <w:shd w:val="clear" w:color="auto" w:fill="FFFFFF"/>
        <w:tabs>
          <w:tab w:val="left" w:pos="0"/>
          <w:tab w:val="left" w:pos="2835"/>
        </w:tabs>
        <w:jc w:val="both"/>
        <w:rPr>
          <w:rFonts w:ascii="DejaVu Serif" w:hAnsi="DejaVu Serif"/>
          <w:color w:val="auto"/>
          <w:sz w:val="20"/>
        </w:rPr>
      </w:pPr>
      <w:r w:rsidRPr="002A4ACB">
        <w:rPr>
          <w:rFonts w:ascii="DejaVu Serif" w:hAnsi="DejaVu Serif"/>
          <w:color w:val="auto"/>
          <w:sz w:val="20"/>
        </w:rPr>
        <w:tab/>
      </w:r>
    </w:p>
    <w:p w14:paraId="0943548F" w14:textId="3C446DD0" w:rsidR="00414E56" w:rsidRPr="002A4ACB" w:rsidRDefault="0043366D" w:rsidP="00C21635">
      <w:pPr>
        <w:pStyle w:val="Normal1"/>
        <w:shd w:val="clear" w:color="auto" w:fill="FFFFFF"/>
        <w:tabs>
          <w:tab w:val="left" w:pos="0"/>
          <w:tab w:val="left" w:pos="2835"/>
        </w:tabs>
        <w:jc w:val="both"/>
        <w:rPr>
          <w:rFonts w:ascii="DejaVu Serif" w:hAnsi="DejaVu Serif"/>
          <w:color w:val="auto"/>
          <w:sz w:val="20"/>
        </w:rPr>
      </w:pPr>
      <w:r>
        <w:rPr>
          <w:rFonts w:ascii="DejaVu Serif" w:hAnsi="DejaVu Serif"/>
          <w:color w:val="auto"/>
          <w:sz w:val="20"/>
        </w:rPr>
        <w:lastRenderedPageBreak/>
        <w:t>Las</w:t>
      </w:r>
      <w:r w:rsidR="00414E56" w:rsidRPr="002A4ACB">
        <w:rPr>
          <w:rFonts w:ascii="DejaVu Serif" w:hAnsi="DejaVu Serif"/>
          <w:color w:val="auto"/>
          <w:sz w:val="20"/>
        </w:rPr>
        <w:t xml:space="preserve"> siete sentencias del Tribunal Constitucional</w:t>
      </w:r>
      <w:r>
        <w:rPr>
          <w:rFonts w:ascii="DejaVu Serif" w:hAnsi="DejaVu Serif"/>
          <w:color w:val="auto"/>
          <w:sz w:val="20"/>
        </w:rPr>
        <w:t xml:space="preserve"> antes citadas</w:t>
      </w:r>
      <w:r w:rsidR="00414E56" w:rsidRPr="002A4ACB">
        <w:rPr>
          <w:rFonts w:ascii="DejaVu Serif" w:hAnsi="DejaVu Serif"/>
          <w:color w:val="auto"/>
          <w:sz w:val="20"/>
        </w:rPr>
        <w:t xml:space="preserve">, </w:t>
      </w:r>
      <w:r w:rsidR="00414E56" w:rsidRPr="002A4ACB">
        <w:rPr>
          <w:rFonts w:ascii="DejaVu Serif" w:eastAsia="EB Garamond" w:hAnsi="DejaVu Serif"/>
          <w:color w:val="auto"/>
          <w:sz w:val="20"/>
        </w:rPr>
        <w:t xml:space="preserve">han </w:t>
      </w:r>
      <w:r w:rsidR="002E373D">
        <w:rPr>
          <w:rFonts w:ascii="DejaVu Serif" w:eastAsia="EB Garamond" w:hAnsi="DejaVu Serif"/>
          <w:color w:val="auto"/>
          <w:sz w:val="20"/>
        </w:rPr>
        <w:t>establecido</w:t>
      </w:r>
      <w:r w:rsidR="00414E56" w:rsidRPr="002A4ACB">
        <w:rPr>
          <w:rFonts w:ascii="DejaVu Serif" w:eastAsia="EB Garamond" w:hAnsi="DejaVu Serif"/>
          <w:color w:val="auto"/>
          <w:sz w:val="20"/>
        </w:rPr>
        <w:t xml:space="preserve"> que el</w:t>
      </w:r>
      <w:r>
        <w:rPr>
          <w:rFonts w:ascii="DejaVu Serif" w:eastAsia="EB Garamond" w:hAnsi="DejaVu Serif"/>
          <w:color w:val="auto"/>
          <w:sz w:val="20"/>
        </w:rPr>
        <w:t xml:space="preserve"> P</w:t>
      </w:r>
      <w:r w:rsidR="00414E56" w:rsidRPr="002A4ACB">
        <w:rPr>
          <w:rFonts w:ascii="DejaVu Serif" w:eastAsia="EB Garamond" w:hAnsi="DejaVu Serif"/>
          <w:color w:val="auto"/>
          <w:sz w:val="20"/>
        </w:rPr>
        <w:t>rincipio de publicidad de la CPR se refiere solamente a los actos, resoluciones de los órganos del Estado, sus fundamentos y procedimientos, y que en ningún caso a información que obre en poder de la Administración o que ha sido elaborada con presupuesto público</w:t>
      </w:r>
      <w:r>
        <w:rPr>
          <w:rFonts w:ascii="DejaVu Serif" w:eastAsia="EB Garamond" w:hAnsi="DejaVu Serif"/>
          <w:color w:val="auto"/>
          <w:sz w:val="20"/>
        </w:rPr>
        <w:t xml:space="preserve"> (como lo estable</w:t>
      </w:r>
      <w:r w:rsidR="003228AC">
        <w:rPr>
          <w:rFonts w:ascii="DejaVu Serif" w:eastAsia="EB Garamond" w:hAnsi="DejaVu Serif"/>
          <w:color w:val="auto"/>
          <w:sz w:val="20"/>
        </w:rPr>
        <w:t>ce el inciso segundo de la Ley N° 20.285</w:t>
      </w:r>
      <w:r w:rsidR="00414E56" w:rsidRPr="002A4ACB">
        <w:rPr>
          <w:rFonts w:ascii="DejaVu Serif" w:eastAsia="EB Garamond" w:hAnsi="DejaVu Serif"/>
          <w:color w:val="auto"/>
          <w:sz w:val="20"/>
        </w:rPr>
        <w:t xml:space="preserve">. Asimismo, el </w:t>
      </w:r>
      <w:r w:rsidR="003228AC">
        <w:rPr>
          <w:rFonts w:ascii="DejaVu Serif" w:eastAsia="EB Garamond" w:hAnsi="DejaVu Serif"/>
          <w:color w:val="auto"/>
          <w:sz w:val="20"/>
        </w:rPr>
        <w:t>TC</w:t>
      </w:r>
      <w:r w:rsidR="00414E56" w:rsidRPr="002A4ACB">
        <w:rPr>
          <w:rFonts w:ascii="DejaVu Serif" w:eastAsia="EB Garamond" w:hAnsi="DejaVu Serif"/>
          <w:color w:val="auto"/>
          <w:sz w:val="20"/>
        </w:rPr>
        <w:t xml:space="preserve"> ha planteado que el derecho de acceso a la información pública, de encontrarse en la CPR no está en el artículo 8°, sino que podría encontrársele implícito en el artículo</w:t>
      </w:r>
      <w:r w:rsidR="00414E56" w:rsidRPr="002A4ACB">
        <w:rPr>
          <w:rFonts w:ascii="DejaVu Serif" w:hAnsi="DejaVu Serif"/>
          <w:color w:val="auto"/>
          <w:sz w:val="20"/>
        </w:rPr>
        <w:t xml:space="preserve"> 19 N°12° de la carta fundamental.</w:t>
      </w:r>
    </w:p>
    <w:p w14:paraId="770F95FD" w14:textId="77777777" w:rsidR="00414E56" w:rsidRPr="002A4ACB" w:rsidRDefault="00414E56" w:rsidP="00C21635">
      <w:pPr>
        <w:pStyle w:val="Normal1"/>
        <w:shd w:val="clear" w:color="auto" w:fill="FFFFFF"/>
        <w:tabs>
          <w:tab w:val="left" w:pos="0"/>
          <w:tab w:val="left" w:pos="2835"/>
        </w:tabs>
        <w:jc w:val="both"/>
        <w:rPr>
          <w:rFonts w:ascii="DejaVu Serif" w:eastAsia="EB Garamond" w:hAnsi="DejaVu Serif"/>
          <w:color w:val="auto"/>
          <w:sz w:val="20"/>
        </w:rPr>
      </w:pPr>
    </w:p>
    <w:p w14:paraId="2BF9F2EA" w14:textId="77777777" w:rsidR="00414E56" w:rsidRDefault="00414E56" w:rsidP="00C21635">
      <w:pPr>
        <w:pStyle w:val="Normal1"/>
        <w:shd w:val="clear" w:color="auto" w:fill="FFFFFF"/>
        <w:tabs>
          <w:tab w:val="left" w:pos="0"/>
          <w:tab w:val="left" w:pos="2835"/>
        </w:tabs>
        <w:jc w:val="both"/>
        <w:rPr>
          <w:rFonts w:ascii="DejaVu Serif" w:hAnsi="DejaVu Serif"/>
          <w:color w:val="auto"/>
          <w:sz w:val="20"/>
        </w:rPr>
      </w:pPr>
      <w:r w:rsidRPr="002A4ACB">
        <w:rPr>
          <w:rFonts w:ascii="DejaVu Serif" w:eastAsia="EB Garamond" w:hAnsi="DejaVu Serif"/>
          <w:color w:val="auto"/>
          <w:sz w:val="20"/>
        </w:rPr>
        <w:t xml:space="preserve">Asimismo, el Tribunal Constitucional ha sido claro en señalar que los actos y resoluciones deben ser asociados a la forma en </w:t>
      </w:r>
      <w:r w:rsidRPr="002A4ACB">
        <w:rPr>
          <w:rFonts w:ascii="DejaVu Serif" w:hAnsi="DejaVu Serif"/>
          <w:color w:val="auto"/>
          <w:sz w:val="20"/>
        </w:rPr>
        <w:t xml:space="preserve">que los órganos del Estado expresan su voluntad; los fundamentos son las motivaciones de dichos actos y </w:t>
      </w:r>
      <w:r w:rsidRPr="00F972FD">
        <w:rPr>
          <w:rFonts w:ascii="DejaVu Serif" w:hAnsi="DejaVu Serif"/>
          <w:sz w:val="20"/>
        </w:rPr>
        <w:t>resoluciones; el procedimiento son las formas que utilizan los órganos del Estado para adoptar sus decisiones.</w:t>
      </w:r>
      <w:r w:rsidRPr="00F972FD">
        <w:rPr>
          <w:rFonts w:ascii="DejaVu Serif" w:hAnsi="DejaVu Serif"/>
          <w:color w:val="auto"/>
          <w:sz w:val="20"/>
        </w:rPr>
        <w:t xml:space="preserve"> </w:t>
      </w:r>
      <w:r>
        <w:rPr>
          <w:rFonts w:ascii="DejaVu Serif" w:hAnsi="DejaVu Serif"/>
          <w:color w:val="auto"/>
          <w:sz w:val="20"/>
        </w:rPr>
        <w:t>E</w:t>
      </w:r>
      <w:r w:rsidRPr="00F972FD">
        <w:rPr>
          <w:rFonts w:ascii="DejaVu Serif" w:eastAsia="EB Garamond" w:hAnsi="DejaVu Serif"/>
          <w:color w:val="auto"/>
          <w:sz w:val="20"/>
        </w:rPr>
        <w:t xml:space="preserve">l Tribunal ha aclarado que </w:t>
      </w:r>
      <w:r w:rsidRPr="00F972FD">
        <w:rPr>
          <w:rFonts w:ascii="DejaVu Serif" w:hAnsi="DejaVu Serif"/>
          <w:color w:val="auto"/>
          <w:sz w:val="20"/>
        </w:rPr>
        <w:t>el principio de publicidad constitucional</w:t>
      </w:r>
      <w:r w:rsidRPr="00F972FD">
        <w:rPr>
          <w:rFonts w:ascii="DejaVu Serif" w:hAnsi="DejaVu Serif"/>
          <w:i/>
          <w:color w:val="auto"/>
          <w:sz w:val="20"/>
        </w:rPr>
        <w:t xml:space="preserve"> </w:t>
      </w:r>
      <w:r w:rsidRPr="00F972FD">
        <w:rPr>
          <w:rFonts w:ascii="DejaVu Serif" w:hAnsi="DejaVu Serif"/>
          <w:color w:val="auto"/>
          <w:sz w:val="20"/>
        </w:rPr>
        <w:t>no es la única finalidad de la Administración. Para la labor que se le encarga, la Administración debe observar una serie de principios</w:t>
      </w:r>
      <w:r>
        <w:rPr>
          <w:rFonts w:ascii="DejaVu Serif" w:hAnsi="DejaVu Serif"/>
          <w:color w:val="auto"/>
          <w:sz w:val="20"/>
        </w:rPr>
        <w:t>, entre esos</w:t>
      </w:r>
      <w:r w:rsidRPr="00F972FD">
        <w:rPr>
          <w:rFonts w:ascii="DejaVu Serif" w:hAnsi="DejaVu Serif"/>
          <w:color w:val="auto"/>
          <w:sz w:val="20"/>
        </w:rPr>
        <w:t xml:space="preserve"> están la publicidad, la participaci</w:t>
      </w:r>
      <w:r>
        <w:rPr>
          <w:rFonts w:ascii="DejaVu Serif" w:hAnsi="DejaVu Serif"/>
          <w:color w:val="auto"/>
          <w:sz w:val="20"/>
        </w:rPr>
        <w:t xml:space="preserve">ón, pero también la eficiencia y </w:t>
      </w:r>
      <w:r w:rsidRPr="00F972FD">
        <w:rPr>
          <w:rFonts w:ascii="DejaVu Serif" w:hAnsi="DejaVu Serif"/>
          <w:color w:val="auto"/>
          <w:sz w:val="20"/>
        </w:rPr>
        <w:t xml:space="preserve">la eficacia de su actuación. </w:t>
      </w:r>
    </w:p>
    <w:p w14:paraId="2EE8B2FB" w14:textId="77777777" w:rsidR="00414E56" w:rsidRPr="00F972FD" w:rsidRDefault="00414E56" w:rsidP="00C21635">
      <w:pPr>
        <w:pStyle w:val="Normal1"/>
        <w:shd w:val="clear" w:color="auto" w:fill="FFFFFF"/>
        <w:tabs>
          <w:tab w:val="left" w:pos="0"/>
          <w:tab w:val="left" w:pos="2835"/>
        </w:tabs>
        <w:jc w:val="both"/>
        <w:rPr>
          <w:rFonts w:ascii="DejaVu Serif" w:hAnsi="DejaVu Serif"/>
          <w:color w:val="auto"/>
          <w:sz w:val="20"/>
        </w:rPr>
      </w:pPr>
    </w:p>
    <w:p w14:paraId="302714F6" w14:textId="34729002" w:rsidR="00414E56" w:rsidRDefault="00414E56" w:rsidP="00C21635">
      <w:pPr>
        <w:pStyle w:val="Normal1"/>
        <w:shd w:val="clear" w:color="auto" w:fill="FFFFFF"/>
        <w:tabs>
          <w:tab w:val="left" w:pos="0"/>
          <w:tab w:val="left" w:pos="2835"/>
        </w:tabs>
        <w:jc w:val="both"/>
        <w:rPr>
          <w:rFonts w:ascii="DejaVu Serif" w:eastAsia="EB Garamond" w:hAnsi="DejaVu Serif"/>
          <w:color w:val="auto"/>
          <w:sz w:val="20"/>
        </w:rPr>
      </w:pPr>
      <w:r w:rsidRPr="00F972FD">
        <w:rPr>
          <w:rFonts w:ascii="DejaVu Serif" w:eastAsia="EB Garamond" w:hAnsi="DejaVu Serif"/>
          <w:color w:val="auto"/>
          <w:sz w:val="20"/>
        </w:rPr>
        <w:t>La uniformidad de criterios de estas sentencias permite sostener que existe un precedente en la materia. En efecto, el Tribunal Constitucional a partir de casos particulares, estableció una regla general que le ha servido como instrum</w:t>
      </w:r>
      <w:r w:rsidR="003228AC">
        <w:rPr>
          <w:rFonts w:ascii="DejaVu Serif" w:eastAsia="EB Garamond" w:hAnsi="DejaVu Serif"/>
          <w:color w:val="auto"/>
          <w:sz w:val="20"/>
        </w:rPr>
        <w:t>ento normativo para otros casos y así lo ha reconocido en su sentencia de la causa rol 2.379-2012.</w:t>
      </w:r>
    </w:p>
    <w:p w14:paraId="665BE9AC" w14:textId="77777777" w:rsidR="00414E56" w:rsidRPr="00F972FD" w:rsidRDefault="00414E56" w:rsidP="00C21635">
      <w:pPr>
        <w:pStyle w:val="Normal1"/>
        <w:shd w:val="clear" w:color="auto" w:fill="FFFFFF"/>
        <w:tabs>
          <w:tab w:val="left" w:pos="0"/>
          <w:tab w:val="left" w:pos="2835"/>
        </w:tabs>
        <w:jc w:val="both"/>
        <w:rPr>
          <w:rFonts w:ascii="DejaVu Serif" w:hAnsi="DejaVu Serif"/>
          <w:color w:val="auto"/>
          <w:sz w:val="20"/>
        </w:rPr>
      </w:pPr>
    </w:p>
    <w:p w14:paraId="6F20502F" w14:textId="1EF82A65" w:rsidR="00414E56" w:rsidRDefault="00414E56" w:rsidP="00C21635">
      <w:pPr>
        <w:pStyle w:val="Normal2"/>
        <w:tabs>
          <w:tab w:val="left" w:pos="0"/>
          <w:tab w:val="left" w:pos="2835"/>
        </w:tabs>
        <w:contextualSpacing w:val="0"/>
        <w:jc w:val="both"/>
        <w:rPr>
          <w:rFonts w:ascii="DejaVu Serif" w:eastAsia="EB Garamond" w:hAnsi="DejaVu Serif"/>
          <w:color w:val="auto"/>
          <w:sz w:val="20"/>
        </w:rPr>
      </w:pPr>
      <w:r w:rsidRPr="00F972FD">
        <w:rPr>
          <w:rFonts w:ascii="DejaVu Serif" w:eastAsia="EB Garamond" w:hAnsi="DejaVu Serif"/>
          <w:color w:val="auto"/>
          <w:sz w:val="20"/>
        </w:rPr>
        <w:t xml:space="preserve">A continuación, </w:t>
      </w:r>
      <w:r>
        <w:rPr>
          <w:rFonts w:ascii="DejaVu Serif" w:eastAsia="EB Garamond" w:hAnsi="DejaVu Serif"/>
          <w:color w:val="auto"/>
          <w:sz w:val="20"/>
        </w:rPr>
        <w:t xml:space="preserve">se describen </w:t>
      </w:r>
      <w:r w:rsidRPr="00F972FD">
        <w:rPr>
          <w:rFonts w:ascii="DejaVu Serif" w:eastAsia="EB Garamond" w:hAnsi="DejaVu Serif"/>
          <w:color w:val="auto"/>
          <w:sz w:val="20"/>
        </w:rPr>
        <w:t>la esencia de la doctrina relevante en cada una de las sentencias de las causas mencionadas. Cabe mencionar que, se analiza</w:t>
      </w:r>
      <w:r w:rsidR="003228AC">
        <w:rPr>
          <w:rFonts w:ascii="DejaVu Serif" w:eastAsia="EB Garamond" w:hAnsi="DejaVu Serif"/>
          <w:color w:val="auto"/>
          <w:sz w:val="20"/>
        </w:rPr>
        <w:t>n</w:t>
      </w:r>
      <w:r w:rsidRPr="00F972FD">
        <w:rPr>
          <w:rFonts w:ascii="DejaVu Serif" w:eastAsia="EB Garamond" w:hAnsi="DejaVu Serif"/>
          <w:color w:val="auto"/>
          <w:sz w:val="20"/>
        </w:rPr>
        <w:t xml:space="preserve"> con mayor detalle </w:t>
      </w:r>
      <w:r>
        <w:rPr>
          <w:rFonts w:ascii="DejaVu Serif" w:eastAsia="EB Garamond" w:hAnsi="DejaVu Serif"/>
          <w:color w:val="auto"/>
          <w:sz w:val="20"/>
        </w:rPr>
        <w:t>los</w:t>
      </w:r>
      <w:r w:rsidRPr="00F972FD">
        <w:rPr>
          <w:rFonts w:ascii="DejaVu Serif" w:eastAsia="EB Garamond" w:hAnsi="DejaVu Serif"/>
          <w:color w:val="auto"/>
          <w:sz w:val="20"/>
        </w:rPr>
        <w:t xml:space="preserve"> fallo</w:t>
      </w:r>
      <w:r>
        <w:rPr>
          <w:rFonts w:ascii="DejaVu Serif" w:eastAsia="EB Garamond" w:hAnsi="DejaVu Serif"/>
          <w:color w:val="auto"/>
          <w:sz w:val="20"/>
        </w:rPr>
        <w:t>s</w:t>
      </w:r>
      <w:r w:rsidRPr="00F972FD">
        <w:rPr>
          <w:rFonts w:ascii="DejaVu Serif" w:eastAsia="EB Garamond" w:hAnsi="DejaVu Serif"/>
          <w:color w:val="auto"/>
          <w:sz w:val="20"/>
        </w:rPr>
        <w:t xml:space="preserve"> de la</w:t>
      </w:r>
      <w:r w:rsidR="003228AC">
        <w:rPr>
          <w:rFonts w:ascii="DejaVu Serif" w:eastAsia="EB Garamond" w:hAnsi="DejaVu Serif"/>
          <w:color w:val="auto"/>
          <w:sz w:val="20"/>
        </w:rPr>
        <w:t>s</w:t>
      </w:r>
      <w:r w:rsidRPr="00F972FD">
        <w:rPr>
          <w:rFonts w:ascii="DejaVu Serif" w:eastAsia="EB Garamond" w:hAnsi="DejaVu Serif"/>
          <w:color w:val="auto"/>
          <w:sz w:val="20"/>
        </w:rPr>
        <w:t xml:space="preserve"> causa</w:t>
      </w:r>
      <w:r w:rsidR="003228AC">
        <w:rPr>
          <w:rFonts w:ascii="DejaVu Serif" w:eastAsia="EB Garamond" w:hAnsi="DejaVu Serif"/>
          <w:color w:val="auto"/>
          <w:sz w:val="20"/>
        </w:rPr>
        <w:t>s</w:t>
      </w:r>
      <w:r w:rsidRPr="00F972FD">
        <w:rPr>
          <w:rFonts w:ascii="DejaVu Serif" w:eastAsia="EB Garamond" w:hAnsi="DejaVu Serif"/>
          <w:color w:val="auto"/>
          <w:sz w:val="20"/>
        </w:rPr>
        <w:t xml:space="preserve"> rol</w:t>
      </w:r>
      <w:r w:rsidR="003228AC">
        <w:rPr>
          <w:rFonts w:ascii="DejaVu Serif" w:eastAsia="EB Garamond" w:hAnsi="DejaVu Serif"/>
          <w:color w:val="auto"/>
          <w:sz w:val="20"/>
        </w:rPr>
        <w:t>es</w:t>
      </w:r>
      <w:r w:rsidRPr="00F972FD">
        <w:rPr>
          <w:rFonts w:ascii="DejaVu Serif" w:eastAsia="EB Garamond" w:hAnsi="DejaVu Serif"/>
          <w:color w:val="auto"/>
          <w:sz w:val="20"/>
        </w:rPr>
        <w:t xml:space="preserve"> 2.153-2011 (</w:t>
      </w:r>
      <w:r>
        <w:rPr>
          <w:rFonts w:ascii="DejaVu Serif" w:eastAsia="EB Garamond" w:hAnsi="DejaVu Serif"/>
          <w:color w:val="auto"/>
          <w:sz w:val="20"/>
        </w:rPr>
        <w:t xml:space="preserve">llamado </w:t>
      </w:r>
      <w:r w:rsidRPr="00F972FD">
        <w:rPr>
          <w:rFonts w:ascii="DejaVu Serif" w:eastAsia="EB Garamond" w:hAnsi="DejaVu Serif"/>
          <w:color w:val="auto"/>
          <w:sz w:val="20"/>
        </w:rPr>
        <w:t xml:space="preserve">caso </w:t>
      </w:r>
      <w:proofErr w:type="spellStart"/>
      <w:r w:rsidRPr="00F972FD">
        <w:rPr>
          <w:rFonts w:ascii="DejaVu Serif" w:eastAsia="EB Garamond" w:hAnsi="DejaVu Serif"/>
          <w:color w:val="auto"/>
          <w:sz w:val="20"/>
        </w:rPr>
        <w:t>Ubilla</w:t>
      </w:r>
      <w:proofErr w:type="spellEnd"/>
      <w:r w:rsidRPr="00F972FD">
        <w:rPr>
          <w:rFonts w:ascii="DejaVu Serif" w:eastAsia="EB Garamond" w:hAnsi="DejaVu Serif"/>
          <w:color w:val="auto"/>
          <w:sz w:val="20"/>
        </w:rPr>
        <w:t>)</w:t>
      </w:r>
      <w:r>
        <w:rPr>
          <w:rFonts w:ascii="DejaVu Serif" w:eastAsia="EB Garamond" w:hAnsi="DejaVu Serif"/>
          <w:color w:val="auto"/>
          <w:sz w:val="20"/>
        </w:rPr>
        <w:t xml:space="preserve"> </w:t>
      </w:r>
      <w:r w:rsidR="003228AC">
        <w:rPr>
          <w:rFonts w:ascii="DejaVu Serif" w:eastAsia="EB Garamond" w:hAnsi="DejaVu Serif"/>
          <w:color w:val="auto"/>
          <w:sz w:val="20"/>
        </w:rPr>
        <w:t>y</w:t>
      </w:r>
      <w:r>
        <w:rPr>
          <w:rFonts w:ascii="DejaVu Serif" w:eastAsia="EB Garamond" w:hAnsi="DejaVu Serif"/>
          <w:color w:val="auto"/>
          <w:sz w:val="20"/>
        </w:rPr>
        <w:t xml:space="preserve"> 3.111-2016</w:t>
      </w:r>
      <w:r w:rsidRPr="00F972FD">
        <w:rPr>
          <w:rFonts w:ascii="DejaVu Serif" w:eastAsia="EB Garamond" w:hAnsi="DejaVu Serif"/>
          <w:color w:val="auto"/>
          <w:sz w:val="20"/>
        </w:rPr>
        <w:t xml:space="preserve">, por cuanto </w:t>
      </w:r>
      <w:r>
        <w:rPr>
          <w:rFonts w:ascii="DejaVu Serif" w:eastAsia="EB Garamond" w:hAnsi="DejaVu Serif"/>
          <w:color w:val="auto"/>
          <w:sz w:val="20"/>
        </w:rPr>
        <w:t xml:space="preserve">ellas </w:t>
      </w:r>
      <w:r w:rsidR="003228AC">
        <w:rPr>
          <w:rFonts w:ascii="DejaVu Serif" w:eastAsia="EB Garamond" w:hAnsi="DejaVu Serif"/>
          <w:color w:val="auto"/>
          <w:sz w:val="20"/>
        </w:rPr>
        <w:t xml:space="preserve">incorporan y desarrollan </w:t>
      </w:r>
      <w:r w:rsidRPr="00F972FD">
        <w:rPr>
          <w:rFonts w:ascii="DejaVu Serif" w:eastAsia="EB Garamond" w:hAnsi="DejaVu Serif"/>
          <w:color w:val="auto"/>
          <w:sz w:val="20"/>
        </w:rPr>
        <w:t>los principales argumentos de la doctrina del Tribunal Constitucional.</w:t>
      </w:r>
    </w:p>
    <w:p w14:paraId="45B12012" w14:textId="77777777" w:rsidR="00414E56" w:rsidRDefault="00414E56" w:rsidP="00414E56">
      <w:pPr>
        <w:pStyle w:val="Normal2"/>
        <w:tabs>
          <w:tab w:val="left" w:pos="0"/>
          <w:tab w:val="left" w:pos="2835"/>
        </w:tabs>
        <w:contextualSpacing w:val="0"/>
        <w:jc w:val="both"/>
        <w:rPr>
          <w:rFonts w:ascii="DejaVu Serif" w:eastAsia="EB Garamond" w:hAnsi="DejaVu Serif"/>
          <w:color w:val="auto"/>
          <w:sz w:val="20"/>
        </w:rPr>
      </w:pPr>
    </w:p>
    <w:p w14:paraId="56559F5E" w14:textId="77777777" w:rsidR="00613C29" w:rsidRDefault="00613C29" w:rsidP="00414E56">
      <w:pPr>
        <w:pStyle w:val="Normal2"/>
        <w:tabs>
          <w:tab w:val="left" w:pos="0"/>
          <w:tab w:val="left" w:pos="2835"/>
        </w:tabs>
        <w:contextualSpacing w:val="0"/>
        <w:jc w:val="both"/>
        <w:rPr>
          <w:rFonts w:ascii="DejaVu Serif" w:eastAsia="EB Garamond" w:hAnsi="DejaVu Serif"/>
          <w:color w:val="auto"/>
          <w:sz w:val="20"/>
        </w:rPr>
      </w:pPr>
    </w:p>
    <w:p w14:paraId="2DCFB89C" w14:textId="77777777" w:rsidR="00613C29" w:rsidRDefault="00613C29" w:rsidP="00414E56">
      <w:pPr>
        <w:pStyle w:val="Normal2"/>
        <w:tabs>
          <w:tab w:val="left" w:pos="0"/>
          <w:tab w:val="left" w:pos="2835"/>
        </w:tabs>
        <w:contextualSpacing w:val="0"/>
        <w:jc w:val="both"/>
        <w:rPr>
          <w:rFonts w:ascii="DejaVu Serif" w:eastAsia="EB Garamond" w:hAnsi="DejaVu Serif"/>
          <w:color w:val="auto"/>
          <w:sz w:val="20"/>
        </w:rPr>
      </w:pPr>
    </w:p>
    <w:p w14:paraId="37283C44" w14:textId="156720B9" w:rsidR="00414E56" w:rsidRPr="00126B97" w:rsidRDefault="00414E56" w:rsidP="00126B97">
      <w:pPr>
        <w:tabs>
          <w:tab w:val="left" w:pos="709"/>
        </w:tabs>
        <w:ind w:left="709" w:hanging="709"/>
        <w:rPr>
          <w:rFonts w:ascii="DejaVu Serif" w:hAnsi="DejaVu Serif"/>
          <w:b/>
          <w:sz w:val="20"/>
          <w:szCs w:val="20"/>
          <w:lang w:val="es-CL"/>
        </w:rPr>
      </w:pPr>
      <w:r w:rsidRPr="00126B97">
        <w:rPr>
          <w:rFonts w:ascii="DejaVu Serif" w:hAnsi="DejaVu Serif"/>
          <w:b/>
          <w:sz w:val="20"/>
          <w:szCs w:val="20"/>
          <w:lang w:val="es-CL"/>
        </w:rPr>
        <w:t xml:space="preserve">1. </w:t>
      </w:r>
      <w:r w:rsidR="00126B97">
        <w:rPr>
          <w:rFonts w:ascii="DejaVu Serif" w:hAnsi="DejaVu Serif"/>
          <w:b/>
          <w:sz w:val="20"/>
          <w:szCs w:val="20"/>
          <w:lang w:val="es-CL"/>
        </w:rPr>
        <w:tab/>
      </w:r>
      <w:r w:rsidRPr="00126B97">
        <w:rPr>
          <w:rFonts w:ascii="DejaVu Serif" w:hAnsi="DejaVu Serif"/>
          <w:b/>
          <w:sz w:val="20"/>
          <w:szCs w:val="20"/>
          <w:lang w:val="es-CL"/>
        </w:rPr>
        <w:t>Sentencia de la causa rol 2.153-2011</w:t>
      </w:r>
    </w:p>
    <w:p w14:paraId="20D1B2DB" w14:textId="02FD15DA" w:rsidR="00414E56" w:rsidRDefault="00414E56" w:rsidP="00C21635">
      <w:pPr>
        <w:pStyle w:val="Normal1"/>
        <w:tabs>
          <w:tab w:val="left" w:pos="0"/>
        </w:tabs>
        <w:jc w:val="both"/>
        <w:rPr>
          <w:rFonts w:ascii="DejaVu Serif" w:hAnsi="DejaVu Serif"/>
          <w:color w:val="auto"/>
          <w:sz w:val="20"/>
        </w:rPr>
      </w:pPr>
      <w:r w:rsidRPr="00F972FD">
        <w:rPr>
          <w:rFonts w:ascii="DejaVu Serif" w:hAnsi="DejaVu Serif"/>
          <w:color w:val="auto"/>
          <w:sz w:val="20"/>
        </w:rPr>
        <w:t xml:space="preserve">La causa rol 2.153-2011 se originó en un requerimiento de inaplicabilidad por inconstitucionalidad presentado por el ex subsecretario del Interior, Rodrigo </w:t>
      </w:r>
      <w:proofErr w:type="spellStart"/>
      <w:r w:rsidRPr="00F972FD">
        <w:rPr>
          <w:rFonts w:ascii="DejaVu Serif" w:hAnsi="DejaVu Serif"/>
          <w:color w:val="auto"/>
          <w:sz w:val="20"/>
        </w:rPr>
        <w:t>Ubilla</w:t>
      </w:r>
      <w:proofErr w:type="spellEnd"/>
      <w:r w:rsidRPr="00F972FD">
        <w:rPr>
          <w:rFonts w:ascii="DejaVu Serif" w:hAnsi="DejaVu Serif"/>
          <w:color w:val="auto"/>
          <w:sz w:val="20"/>
        </w:rPr>
        <w:t xml:space="preserve">, respecto del inciso segundo del </w:t>
      </w:r>
      <w:r>
        <w:rPr>
          <w:rFonts w:ascii="DejaVu Serif" w:hAnsi="DejaVu Serif"/>
          <w:sz w:val="20"/>
        </w:rPr>
        <w:t>artículo</w:t>
      </w:r>
      <w:r w:rsidRPr="00F972FD">
        <w:rPr>
          <w:rFonts w:ascii="DejaVu Serif" w:hAnsi="DejaVu Serif"/>
          <w:color w:val="auto"/>
          <w:sz w:val="20"/>
        </w:rPr>
        <w:t xml:space="preserve"> 5° de la Ley </w:t>
      </w:r>
      <w:r w:rsidR="008F254F">
        <w:rPr>
          <w:rFonts w:ascii="DejaVu Serif" w:hAnsi="DejaVu Serif"/>
          <w:color w:val="auto"/>
          <w:sz w:val="20"/>
        </w:rPr>
        <w:t xml:space="preserve">N° </w:t>
      </w:r>
      <w:r w:rsidRPr="00F972FD">
        <w:rPr>
          <w:rFonts w:ascii="DejaVu Serif" w:hAnsi="DejaVu Serif"/>
          <w:color w:val="auto"/>
          <w:sz w:val="20"/>
        </w:rPr>
        <w:t xml:space="preserve">20.285, en la causa sobre reclamo de ilegalidad caratulada </w:t>
      </w:r>
      <w:r w:rsidRPr="00687DF5">
        <w:rPr>
          <w:rFonts w:ascii="DejaVu Serif" w:hAnsi="DejaVu Serif"/>
          <w:color w:val="auto"/>
          <w:sz w:val="20"/>
        </w:rPr>
        <w:t>“Subsecretaría Interior con Consejo para la Transparencia”,</w:t>
      </w:r>
      <w:r w:rsidRPr="00F972FD">
        <w:rPr>
          <w:rFonts w:ascii="DejaVu Serif" w:hAnsi="DejaVu Serif"/>
          <w:color w:val="auto"/>
          <w:sz w:val="20"/>
        </w:rPr>
        <w:t xml:space="preserve"> que conocía la Corte de Apelaciones de Santiago, bajo el rol 6.704-2011</w:t>
      </w:r>
      <w:r w:rsidRPr="00F972FD">
        <w:rPr>
          <w:rStyle w:val="Refdenotaalpie"/>
          <w:rFonts w:ascii="DejaVu Serif" w:hAnsi="DejaVu Serif"/>
          <w:color w:val="auto"/>
          <w:sz w:val="20"/>
        </w:rPr>
        <w:footnoteReference w:id="1"/>
      </w:r>
      <w:r w:rsidRPr="00F972FD">
        <w:rPr>
          <w:rFonts w:ascii="DejaVu Serif" w:hAnsi="DejaVu Serif"/>
          <w:color w:val="auto"/>
          <w:sz w:val="20"/>
        </w:rPr>
        <w:t>.</w:t>
      </w:r>
    </w:p>
    <w:p w14:paraId="27C74C7C" w14:textId="77777777" w:rsidR="00414E56" w:rsidRDefault="00414E56" w:rsidP="00C21635">
      <w:pPr>
        <w:pStyle w:val="Normal1"/>
        <w:tabs>
          <w:tab w:val="left" w:pos="0"/>
        </w:tabs>
        <w:jc w:val="both"/>
        <w:rPr>
          <w:rFonts w:ascii="DejaVu Serif" w:hAnsi="DejaVu Serif"/>
          <w:color w:val="auto"/>
          <w:sz w:val="20"/>
        </w:rPr>
      </w:pPr>
    </w:p>
    <w:p w14:paraId="7305ECD3" w14:textId="58F3E1BF" w:rsidR="00414E56" w:rsidRPr="00687DF5" w:rsidRDefault="00414E56" w:rsidP="00C21635">
      <w:pPr>
        <w:pStyle w:val="Normal1"/>
        <w:tabs>
          <w:tab w:val="left" w:pos="0"/>
        </w:tabs>
        <w:jc w:val="both"/>
        <w:rPr>
          <w:rFonts w:ascii="DejaVu Serif" w:hAnsi="DejaVu Serif"/>
          <w:color w:val="auto"/>
          <w:sz w:val="20"/>
        </w:rPr>
      </w:pPr>
      <w:r w:rsidRPr="00F972FD">
        <w:rPr>
          <w:rFonts w:ascii="DejaVu Serif" w:hAnsi="DejaVu Serif"/>
          <w:color w:val="auto"/>
          <w:sz w:val="20"/>
        </w:rPr>
        <w:t xml:space="preserve">En el caso </w:t>
      </w:r>
      <w:proofErr w:type="spellStart"/>
      <w:r w:rsidRPr="00F972FD">
        <w:rPr>
          <w:rFonts w:ascii="DejaVu Serif" w:hAnsi="DejaVu Serif"/>
          <w:color w:val="auto"/>
          <w:sz w:val="20"/>
        </w:rPr>
        <w:t>Ubilla</w:t>
      </w:r>
      <w:proofErr w:type="spellEnd"/>
      <w:r w:rsidRPr="00F972FD">
        <w:rPr>
          <w:rFonts w:ascii="DejaVu Serif" w:hAnsi="DejaVu Serif"/>
          <w:color w:val="auto"/>
          <w:sz w:val="20"/>
        </w:rPr>
        <w:t>, el Consejo</w:t>
      </w:r>
      <w:r w:rsidR="00D33AAF">
        <w:rPr>
          <w:rFonts w:ascii="DejaVu Serif" w:hAnsi="DejaVu Serif"/>
          <w:color w:val="auto"/>
          <w:sz w:val="20"/>
        </w:rPr>
        <w:t xml:space="preserve"> para Transparencia (Consejo)</w:t>
      </w:r>
      <w:r w:rsidRPr="00F972FD">
        <w:rPr>
          <w:rFonts w:ascii="DejaVu Serif" w:hAnsi="DejaVu Serif"/>
          <w:color w:val="auto"/>
          <w:sz w:val="20"/>
        </w:rPr>
        <w:t xml:space="preserve"> </w:t>
      </w:r>
      <w:r w:rsidR="00613C29">
        <w:rPr>
          <w:rFonts w:ascii="DejaVu Serif" w:hAnsi="DejaVu Serif"/>
          <w:color w:val="auto"/>
          <w:sz w:val="20"/>
        </w:rPr>
        <w:t xml:space="preserve">calificó como </w:t>
      </w:r>
      <w:r w:rsidRPr="00F972FD">
        <w:rPr>
          <w:rFonts w:ascii="DejaVu Serif" w:hAnsi="DejaVu Serif"/>
          <w:color w:val="auto"/>
          <w:sz w:val="20"/>
        </w:rPr>
        <w:t>información pública</w:t>
      </w:r>
      <w:r w:rsidR="00D33AAF">
        <w:rPr>
          <w:rFonts w:ascii="DejaVu Serif" w:hAnsi="DejaVu Serif"/>
          <w:color w:val="auto"/>
          <w:sz w:val="20"/>
        </w:rPr>
        <w:t xml:space="preserve"> los</w:t>
      </w:r>
      <w:r w:rsidRPr="00F972FD">
        <w:rPr>
          <w:rFonts w:ascii="DejaVu Serif" w:hAnsi="DejaVu Serif"/>
          <w:color w:val="auto"/>
          <w:sz w:val="20"/>
        </w:rPr>
        <w:t xml:space="preserve"> mensajes de correos electrónicos despachados por la autoridad en el ejercicio de sus funciones públicas. El TC estableció que el inciso segundo del </w:t>
      </w:r>
      <w:r>
        <w:rPr>
          <w:rFonts w:ascii="DejaVu Serif" w:hAnsi="DejaVu Serif"/>
          <w:sz w:val="20"/>
        </w:rPr>
        <w:t>artículo</w:t>
      </w:r>
      <w:r w:rsidRPr="00F972FD">
        <w:rPr>
          <w:rFonts w:ascii="DejaVu Serif" w:hAnsi="DejaVu Serif"/>
          <w:color w:val="auto"/>
          <w:sz w:val="20"/>
        </w:rPr>
        <w:t xml:space="preserve"> 5</w:t>
      </w:r>
      <w:r>
        <w:rPr>
          <w:rFonts w:ascii="DejaVu Serif" w:hAnsi="DejaVu Serif"/>
          <w:color w:val="auto"/>
          <w:sz w:val="20"/>
        </w:rPr>
        <w:t xml:space="preserve">, </w:t>
      </w:r>
      <w:r w:rsidRPr="00F972FD">
        <w:rPr>
          <w:rFonts w:ascii="DejaVu Serif" w:hAnsi="DejaVu Serif"/>
          <w:color w:val="auto"/>
          <w:sz w:val="20"/>
        </w:rPr>
        <w:t>en aquella parte que se refiere a que es pública la información que ha sido elaborada con presupuesto público o que obre en poder la órganos de la Administración, excedía lo dispuesto en la Carta Fundamental, y por ende dicha norma “</w:t>
      </w:r>
      <w:r w:rsidRPr="00687DF5">
        <w:rPr>
          <w:rFonts w:ascii="DejaVu Serif" w:hAnsi="DejaVu Serif"/>
          <w:color w:val="auto"/>
          <w:sz w:val="20"/>
        </w:rPr>
        <w:t xml:space="preserve">va más allá de lo que el constituyente estimó debe publicitarse”. </w:t>
      </w:r>
    </w:p>
    <w:p w14:paraId="455B46EC" w14:textId="77777777" w:rsidR="00414E56" w:rsidRDefault="00414E56" w:rsidP="00C21635">
      <w:pPr>
        <w:pStyle w:val="Normal1"/>
        <w:tabs>
          <w:tab w:val="left" w:pos="0"/>
        </w:tabs>
        <w:jc w:val="both"/>
        <w:rPr>
          <w:rFonts w:ascii="DejaVu Serif" w:hAnsi="DejaVu Serif"/>
          <w:color w:val="auto"/>
          <w:sz w:val="20"/>
        </w:rPr>
      </w:pPr>
    </w:p>
    <w:p w14:paraId="59BCB7B4" w14:textId="127579CB" w:rsidR="00414E56" w:rsidRPr="00F972FD" w:rsidRDefault="00414E56" w:rsidP="00C21635">
      <w:pPr>
        <w:pStyle w:val="Normal1"/>
        <w:tabs>
          <w:tab w:val="left" w:pos="0"/>
        </w:tabs>
        <w:jc w:val="both"/>
        <w:rPr>
          <w:rFonts w:ascii="DejaVu Serif" w:hAnsi="DejaVu Serif"/>
          <w:color w:val="auto"/>
          <w:sz w:val="20"/>
        </w:rPr>
      </w:pPr>
      <w:r w:rsidRPr="00F972FD">
        <w:rPr>
          <w:rFonts w:ascii="DejaVu Serif" w:hAnsi="DejaVu Serif"/>
          <w:color w:val="auto"/>
          <w:sz w:val="20"/>
        </w:rPr>
        <w:t>El Tribunal Constitucional</w:t>
      </w:r>
      <w:r w:rsidRPr="00F972FD">
        <w:rPr>
          <w:rFonts w:ascii="DejaVu Serif" w:hAnsi="DejaVu Serif"/>
          <w:color w:val="auto"/>
          <w:sz w:val="20"/>
          <w:vertAlign w:val="superscript"/>
        </w:rPr>
        <w:footnoteReference w:id="2"/>
      </w:r>
      <w:r w:rsidRPr="00F972FD">
        <w:rPr>
          <w:rFonts w:ascii="DejaVu Serif" w:hAnsi="DejaVu Serif"/>
          <w:color w:val="auto"/>
          <w:sz w:val="20"/>
        </w:rPr>
        <w:t xml:space="preserve"> </w:t>
      </w:r>
      <w:r>
        <w:rPr>
          <w:rFonts w:ascii="DejaVu Serif" w:hAnsi="DejaVu Serif"/>
          <w:color w:val="auto"/>
          <w:sz w:val="20"/>
        </w:rPr>
        <w:t>entregó</w:t>
      </w:r>
      <w:r w:rsidRPr="00F972FD">
        <w:rPr>
          <w:rFonts w:ascii="DejaVu Serif" w:hAnsi="DejaVu Serif"/>
          <w:color w:val="auto"/>
          <w:sz w:val="20"/>
        </w:rPr>
        <w:t xml:space="preserve"> diversos argumentos que justifican su decisión, desde razones asociadas a las bases de un régimen republicano y democrático o la redacción de la norma del inciso segundo del </w:t>
      </w:r>
      <w:r>
        <w:rPr>
          <w:rFonts w:ascii="DejaVu Serif" w:hAnsi="DejaVu Serif"/>
          <w:sz w:val="20"/>
        </w:rPr>
        <w:t>artículo</w:t>
      </w:r>
      <w:r w:rsidRPr="00F972FD">
        <w:rPr>
          <w:rFonts w:ascii="DejaVu Serif" w:hAnsi="DejaVu Serif"/>
          <w:color w:val="auto"/>
          <w:sz w:val="20"/>
        </w:rPr>
        <w:t xml:space="preserve"> 8°, pasando por la evidente primacía constitucional o la existencia de un universo de comunicaciones que son reservadas por razones inherentes a la burocracia nacional, y hasta reconociendo que implícitamente podría existir el derecho de acceso a la información pública, pero en el </w:t>
      </w:r>
      <w:r>
        <w:rPr>
          <w:rFonts w:ascii="DejaVu Serif" w:hAnsi="DejaVu Serif"/>
          <w:sz w:val="20"/>
        </w:rPr>
        <w:t>artículo</w:t>
      </w:r>
      <w:r w:rsidRPr="00F972FD">
        <w:rPr>
          <w:rFonts w:ascii="DejaVu Serif" w:hAnsi="DejaVu Serif"/>
          <w:color w:val="auto"/>
          <w:sz w:val="20"/>
        </w:rPr>
        <w:t xml:space="preserve"> 19 de la CPR y con limitaciones en todo caso</w:t>
      </w:r>
      <w:r>
        <w:rPr>
          <w:rFonts w:ascii="DejaVu Serif" w:hAnsi="DejaVu Serif"/>
          <w:color w:val="auto"/>
          <w:sz w:val="20"/>
        </w:rPr>
        <w:t>. Se resumen</w:t>
      </w:r>
      <w:r w:rsidRPr="00F972FD">
        <w:rPr>
          <w:rFonts w:ascii="DejaVu Serif" w:hAnsi="DejaVu Serif"/>
          <w:color w:val="auto"/>
          <w:sz w:val="20"/>
        </w:rPr>
        <w:t>, a continuación, esos argumentos.</w:t>
      </w:r>
    </w:p>
    <w:p w14:paraId="37E06AC7" w14:textId="77777777" w:rsidR="00414E56" w:rsidRDefault="00414E56" w:rsidP="00C21635">
      <w:pPr>
        <w:pStyle w:val="Normal1"/>
        <w:tabs>
          <w:tab w:val="left" w:pos="0"/>
        </w:tabs>
        <w:jc w:val="both"/>
        <w:rPr>
          <w:rFonts w:ascii="DejaVu Serif" w:hAnsi="DejaVu Serif"/>
          <w:color w:val="auto"/>
          <w:sz w:val="20"/>
        </w:rPr>
      </w:pPr>
      <w:r w:rsidRPr="00F972FD">
        <w:rPr>
          <w:rFonts w:ascii="DejaVu Serif" w:hAnsi="DejaVu Serif"/>
          <w:color w:val="auto"/>
          <w:sz w:val="20"/>
        </w:rPr>
        <w:tab/>
      </w:r>
    </w:p>
    <w:p w14:paraId="376D2DD5" w14:textId="77777777" w:rsidR="00414E56" w:rsidRPr="00F972FD" w:rsidRDefault="00414E56" w:rsidP="00C21635">
      <w:pPr>
        <w:pStyle w:val="Normal1"/>
        <w:tabs>
          <w:tab w:val="left" w:pos="0"/>
        </w:tabs>
        <w:jc w:val="both"/>
        <w:rPr>
          <w:rFonts w:ascii="DejaVu Serif" w:hAnsi="DejaVu Serif"/>
          <w:color w:val="auto"/>
          <w:sz w:val="20"/>
        </w:rPr>
      </w:pPr>
      <w:r w:rsidRPr="00F972FD">
        <w:rPr>
          <w:rFonts w:ascii="DejaVu Serif" w:hAnsi="DejaVu Serif"/>
          <w:color w:val="auto"/>
          <w:sz w:val="20"/>
        </w:rPr>
        <w:t>En primer lugar, se sost</w:t>
      </w:r>
      <w:r>
        <w:rPr>
          <w:rFonts w:ascii="DejaVu Serif" w:hAnsi="DejaVu Serif"/>
          <w:color w:val="auto"/>
          <w:sz w:val="20"/>
        </w:rPr>
        <w:t>uvo</w:t>
      </w:r>
      <w:r w:rsidRPr="00F972FD">
        <w:rPr>
          <w:rFonts w:ascii="DejaVu Serif" w:hAnsi="DejaVu Serif"/>
          <w:color w:val="auto"/>
          <w:sz w:val="20"/>
        </w:rPr>
        <w:t xml:space="preserve"> que el mandato de publicidad (de la Carta Fundamental) no es absoluto, y es sólo respecto de ciertos asuntos. Esta idea se sustenta en que:</w:t>
      </w:r>
    </w:p>
    <w:p w14:paraId="7284208A" w14:textId="77777777" w:rsidR="00414E56" w:rsidRDefault="00414E56" w:rsidP="00C21635">
      <w:pPr>
        <w:pStyle w:val="Normal1"/>
        <w:tabs>
          <w:tab w:val="left" w:pos="0"/>
        </w:tabs>
        <w:ind w:left="284"/>
        <w:jc w:val="both"/>
        <w:rPr>
          <w:rFonts w:ascii="DejaVu Serif" w:hAnsi="DejaVu Serif"/>
          <w:color w:val="auto"/>
          <w:sz w:val="20"/>
        </w:rPr>
      </w:pPr>
    </w:p>
    <w:p w14:paraId="51E13801" w14:textId="3FCE2E13" w:rsidR="00414E56" w:rsidRPr="00AF6603" w:rsidRDefault="00414E56" w:rsidP="006C550E">
      <w:pPr>
        <w:pStyle w:val="Normal1"/>
        <w:numPr>
          <w:ilvl w:val="0"/>
          <w:numId w:val="7"/>
        </w:numPr>
        <w:tabs>
          <w:tab w:val="left" w:pos="0"/>
        </w:tabs>
        <w:ind w:left="426" w:hanging="426"/>
        <w:jc w:val="both"/>
        <w:rPr>
          <w:rFonts w:ascii="DejaVu Serif" w:hAnsi="DejaVu Serif"/>
          <w:color w:val="auto"/>
          <w:sz w:val="20"/>
        </w:rPr>
      </w:pPr>
      <w:r w:rsidRPr="00AF6603">
        <w:rPr>
          <w:rFonts w:ascii="DejaVu Serif" w:hAnsi="DejaVu Serif"/>
          <w:color w:val="auto"/>
          <w:sz w:val="20"/>
        </w:rPr>
        <w:t xml:space="preserve">Desde una óptica más política, el objetivo de la publicidad del </w:t>
      </w:r>
      <w:r>
        <w:rPr>
          <w:rFonts w:ascii="DejaVu Serif" w:hAnsi="DejaVu Serif"/>
          <w:sz w:val="20"/>
        </w:rPr>
        <w:t>artículo</w:t>
      </w:r>
      <w:r w:rsidRPr="00AF6603">
        <w:rPr>
          <w:rFonts w:ascii="DejaVu Serif" w:hAnsi="DejaVu Serif"/>
          <w:color w:val="auto"/>
          <w:sz w:val="20"/>
        </w:rPr>
        <w:t xml:space="preserve"> 8° de la CPR es</w:t>
      </w:r>
      <w:r w:rsidR="00D33AAF">
        <w:rPr>
          <w:rFonts w:ascii="DejaVu Serif" w:hAnsi="DejaVu Serif"/>
          <w:color w:val="auto"/>
          <w:sz w:val="20"/>
        </w:rPr>
        <w:t>:</w:t>
      </w:r>
      <w:r w:rsidRPr="00AF6603">
        <w:rPr>
          <w:rFonts w:ascii="DejaVu Serif" w:hAnsi="DejaVu Serif"/>
          <w:color w:val="auto"/>
          <w:sz w:val="20"/>
        </w:rPr>
        <w:t xml:space="preserve"> garantizar un régimen republicano democrático y el control del poder, obligando </w:t>
      </w:r>
      <w:r w:rsidRPr="00AF6603">
        <w:rPr>
          <w:rFonts w:ascii="DejaVu Serif" w:hAnsi="DejaVu Serif"/>
          <w:color w:val="auto"/>
          <w:sz w:val="20"/>
        </w:rPr>
        <w:lastRenderedPageBreak/>
        <w:t>a las autoridades a que respondan de sus actos y den cuenta de ellos; promover la responsabilidad de los funcionarios sobre la gestión pública y, finalmente, fomentar una mayor participación de las personas en los intereses de la sociedad</w:t>
      </w:r>
      <w:r w:rsidRPr="00F972FD">
        <w:rPr>
          <w:rFonts w:ascii="DejaVu Serif" w:hAnsi="DejaVu Serif"/>
          <w:color w:val="auto"/>
          <w:sz w:val="20"/>
          <w:vertAlign w:val="superscript"/>
        </w:rPr>
        <w:footnoteReference w:id="3"/>
      </w:r>
      <w:r w:rsidRPr="00AF6603">
        <w:rPr>
          <w:rFonts w:ascii="DejaVu Serif" w:hAnsi="DejaVu Serif"/>
          <w:color w:val="auto"/>
          <w:sz w:val="20"/>
        </w:rPr>
        <w:t>.</w:t>
      </w:r>
    </w:p>
    <w:p w14:paraId="482E7187" w14:textId="77777777" w:rsidR="00414E56" w:rsidRDefault="00414E56" w:rsidP="006C550E">
      <w:pPr>
        <w:pStyle w:val="Normal1"/>
        <w:numPr>
          <w:ilvl w:val="0"/>
          <w:numId w:val="7"/>
        </w:numPr>
        <w:tabs>
          <w:tab w:val="left" w:pos="0"/>
          <w:tab w:val="left" w:pos="851"/>
        </w:tabs>
        <w:ind w:left="426" w:hanging="426"/>
        <w:contextualSpacing/>
        <w:jc w:val="both"/>
        <w:rPr>
          <w:rFonts w:ascii="DejaVu Serif" w:hAnsi="DejaVu Serif"/>
          <w:color w:val="auto"/>
          <w:sz w:val="20"/>
        </w:rPr>
      </w:pPr>
      <w:r w:rsidRPr="00F972FD">
        <w:rPr>
          <w:rFonts w:ascii="DejaVu Serif" w:hAnsi="DejaVu Serif"/>
          <w:color w:val="auto"/>
          <w:sz w:val="20"/>
        </w:rPr>
        <w:t xml:space="preserve">El </w:t>
      </w:r>
      <w:r w:rsidRPr="00F972FD">
        <w:rPr>
          <w:rFonts w:ascii="DejaVu Serif" w:eastAsia="EB Garamond" w:hAnsi="DejaVu Serif"/>
          <w:color w:val="auto"/>
          <w:sz w:val="20"/>
        </w:rPr>
        <w:t>art</w:t>
      </w:r>
      <w:r>
        <w:rPr>
          <w:rFonts w:ascii="DejaVu Serif" w:eastAsia="EB Garamond" w:hAnsi="DejaVu Serif"/>
          <w:color w:val="auto"/>
          <w:sz w:val="20"/>
        </w:rPr>
        <w:t>ículo</w:t>
      </w:r>
      <w:r w:rsidRPr="00F972FD">
        <w:rPr>
          <w:rFonts w:ascii="DejaVu Serif" w:hAnsi="DejaVu Serif"/>
          <w:color w:val="auto"/>
          <w:sz w:val="20"/>
        </w:rPr>
        <w:t xml:space="preserve"> 8° no consagra un derecho de acceso a la información (</w:t>
      </w:r>
      <w:r>
        <w:rPr>
          <w:rFonts w:ascii="DejaVu Serif" w:hAnsi="DejaVu Serif"/>
          <w:color w:val="auto"/>
          <w:sz w:val="20"/>
        </w:rPr>
        <w:t xml:space="preserve">más aún </w:t>
      </w:r>
      <w:r w:rsidRPr="00F972FD">
        <w:rPr>
          <w:rFonts w:ascii="DejaVu Serif" w:hAnsi="DejaVu Serif"/>
          <w:color w:val="auto"/>
          <w:sz w:val="20"/>
        </w:rPr>
        <w:t xml:space="preserve">la CPR no habla de información), éste se encuentra reconocido implícitamente en el </w:t>
      </w:r>
      <w:r>
        <w:rPr>
          <w:rFonts w:ascii="DejaVu Serif" w:hAnsi="DejaVu Serif"/>
          <w:sz w:val="20"/>
        </w:rPr>
        <w:t>artículo</w:t>
      </w:r>
      <w:r w:rsidRPr="00F972FD">
        <w:rPr>
          <w:rFonts w:ascii="DejaVu Serif" w:hAnsi="DejaVu Serif"/>
          <w:color w:val="auto"/>
          <w:sz w:val="20"/>
        </w:rPr>
        <w:t xml:space="preserve"> 19 </w:t>
      </w:r>
      <w:r>
        <w:rPr>
          <w:rFonts w:ascii="DejaVu Serif" w:hAnsi="DejaVu Serif"/>
          <w:color w:val="auto"/>
          <w:sz w:val="20"/>
        </w:rPr>
        <w:t>N</w:t>
      </w:r>
      <w:r w:rsidRPr="00F972FD">
        <w:rPr>
          <w:rFonts w:ascii="DejaVu Serif" w:hAnsi="DejaVu Serif"/>
          <w:color w:val="auto"/>
          <w:sz w:val="20"/>
        </w:rPr>
        <w:t>°12° de la Carta Fundamental</w:t>
      </w:r>
      <w:r w:rsidRPr="00F972FD">
        <w:rPr>
          <w:rFonts w:ascii="DejaVu Serif" w:hAnsi="DejaVu Serif"/>
          <w:color w:val="auto"/>
          <w:sz w:val="20"/>
          <w:vertAlign w:val="superscript"/>
        </w:rPr>
        <w:footnoteReference w:id="4"/>
      </w:r>
      <w:r w:rsidRPr="00F972FD">
        <w:rPr>
          <w:rFonts w:ascii="DejaVu Serif" w:hAnsi="DejaVu Serif"/>
          <w:color w:val="auto"/>
          <w:sz w:val="20"/>
        </w:rPr>
        <w:t>. En todo caso, este derecho no es absoluto</w:t>
      </w:r>
      <w:r w:rsidRPr="00F972FD">
        <w:rPr>
          <w:rFonts w:ascii="DejaVu Serif" w:hAnsi="DejaVu Serif"/>
          <w:color w:val="auto"/>
          <w:sz w:val="20"/>
          <w:vertAlign w:val="superscript"/>
        </w:rPr>
        <w:footnoteReference w:id="5"/>
      </w:r>
      <w:r w:rsidRPr="00F972FD">
        <w:rPr>
          <w:rFonts w:ascii="DejaVu Serif" w:hAnsi="DejaVu Serif"/>
          <w:color w:val="auto"/>
          <w:sz w:val="20"/>
        </w:rPr>
        <w:t>, por cuanto la publicidad debe hacerse respetando los derechos que el ordenamiento establece</w:t>
      </w:r>
      <w:r w:rsidRPr="00F972FD">
        <w:rPr>
          <w:rFonts w:ascii="DejaVu Serif" w:hAnsi="DejaVu Serif"/>
          <w:color w:val="auto"/>
          <w:sz w:val="20"/>
          <w:vertAlign w:val="superscript"/>
        </w:rPr>
        <w:footnoteReference w:id="6"/>
      </w:r>
      <w:r w:rsidRPr="00F972FD">
        <w:rPr>
          <w:rFonts w:ascii="DejaVu Serif" w:hAnsi="DejaVu Serif"/>
          <w:color w:val="auto"/>
          <w:sz w:val="20"/>
        </w:rPr>
        <w:t xml:space="preserve">. </w:t>
      </w:r>
    </w:p>
    <w:p w14:paraId="38C628DA" w14:textId="77777777" w:rsidR="00414E56" w:rsidRPr="00F972FD" w:rsidRDefault="00414E56" w:rsidP="006C550E">
      <w:pPr>
        <w:pStyle w:val="Normal1"/>
        <w:numPr>
          <w:ilvl w:val="0"/>
          <w:numId w:val="7"/>
        </w:numPr>
        <w:tabs>
          <w:tab w:val="left" w:pos="0"/>
          <w:tab w:val="left" w:pos="851"/>
        </w:tabs>
        <w:ind w:left="426" w:hanging="426"/>
        <w:contextualSpacing/>
        <w:jc w:val="both"/>
        <w:rPr>
          <w:rFonts w:ascii="DejaVu Serif" w:hAnsi="DejaVu Serif"/>
          <w:color w:val="auto"/>
          <w:sz w:val="20"/>
        </w:rPr>
      </w:pPr>
      <w:r w:rsidRPr="00F972FD">
        <w:rPr>
          <w:rFonts w:ascii="DejaVu Serif" w:hAnsi="DejaVu Serif"/>
          <w:color w:val="auto"/>
          <w:sz w:val="20"/>
        </w:rPr>
        <w:t xml:space="preserve">Recordando, los principios básicos de un ordenamiento jurídico, la Ley </w:t>
      </w:r>
      <w:r>
        <w:rPr>
          <w:rFonts w:ascii="DejaVu Serif" w:hAnsi="DejaVu Serif"/>
          <w:color w:val="auto"/>
          <w:sz w:val="20"/>
        </w:rPr>
        <w:t xml:space="preserve">N° </w:t>
      </w:r>
      <w:r w:rsidRPr="00F972FD">
        <w:rPr>
          <w:rFonts w:ascii="DejaVu Serif" w:hAnsi="DejaVu Serif"/>
          <w:color w:val="auto"/>
          <w:sz w:val="20"/>
        </w:rPr>
        <w:t xml:space="preserve">20.285 es un elemento de partida para la interpretación del </w:t>
      </w:r>
      <w:r>
        <w:rPr>
          <w:rFonts w:ascii="DejaVu Serif" w:hAnsi="DejaVu Serif"/>
          <w:sz w:val="20"/>
        </w:rPr>
        <w:t>artículo</w:t>
      </w:r>
      <w:r w:rsidRPr="00F972FD">
        <w:rPr>
          <w:rFonts w:ascii="DejaVu Serif" w:hAnsi="DejaVu Serif"/>
          <w:color w:val="auto"/>
          <w:sz w:val="20"/>
        </w:rPr>
        <w:t xml:space="preserve"> </w:t>
      </w:r>
      <w:r>
        <w:rPr>
          <w:rFonts w:ascii="DejaVu Serif" w:hAnsi="DejaVu Serif"/>
          <w:color w:val="auto"/>
          <w:sz w:val="20"/>
        </w:rPr>
        <w:t>8°, sin embargo</w:t>
      </w:r>
      <w:r w:rsidRPr="00F972FD">
        <w:rPr>
          <w:rFonts w:ascii="DejaVu Serif" w:hAnsi="DejaVu Serif"/>
          <w:color w:val="auto"/>
          <w:sz w:val="20"/>
        </w:rPr>
        <w:t xml:space="preserve"> </w:t>
      </w:r>
      <w:r>
        <w:rPr>
          <w:rFonts w:ascii="DejaVu Serif" w:hAnsi="DejaVu Serif"/>
          <w:color w:val="auto"/>
          <w:sz w:val="20"/>
        </w:rPr>
        <w:t>s</w:t>
      </w:r>
      <w:r w:rsidRPr="00F972FD">
        <w:rPr>
          <w:rFonts w:ascii="DejaVu Serif" w:hAnsi="DejaVu Serif"/>
          <w:color w:val="auto"/>
          <w:sz w:val="20"/>
        </w:rPr>
        <w:t>on las leyes las que deben interpretarse conforme a la Constitución y no está en base a aquéllas</w:t>
      </w:r>
      <w:r w:rsidRPr="00F972FD">
        <w:rPr>
          <w:rFonts w:ascii="DejaVu Serif" w:hAnsi="DejaVu Serif"/>
          <w:color w:val="auto"/>
          <w:sz w:val="20"/>
          <w:vertAlign w:val="superscript"/>
        </w:rPr>
        <w:footnoteReference w:id="7"/>
      </w:r>
      <w:r w:rsidRPr="00F972FD">
        <w:rPr>
          <w:rFonts w:ascii="DejaVu Serif" w:hAnsi="DejaVu Serif"/>
          <w:color w:val="auto"/>
          <w:sz w:val="20"/>
        </w:rPr>
        <w:t xml:space="preserve">. </w:t>
      </w:r>
    </w:p>
    <w:p w14:paraId="251A00C0" w14:textId="77777777" w:rsidR="00414E56" w:rsidRDefault="00414E56" w:rsidP="00C21635">
      <w:pPr>
        <w:pStyle w:val="Normal1"/>
        <w:tabs>
          <w:tab w:val="left" w:pos="0"/>
          <w:tab w:val="left" w:pos="851"/>
        </w:tabs>
        <w:contextualSpacing/>
        <w:jc w:val="both"/>
        <w:rPr>
          <w:rFonts w:ascii="DejaVu Serif" w:hAnsi="DejaVu Serif"/>
          <w:color w:val="auto"/>
          <w:sz w:val="20"/>
        </w:rPr>
      </w:pPr>
    </w:p>
    <w:p w14:paraId="719B7926" w14:textId="0C17FE8A" w:rsidR="00414E56" w:rsidRPr="00687DF5" w:rsidRDefault="00D33AAF" w:rsidP="00C21635">
      <w:pPr>
        <w:pStyle w:val="Normal1"/>
        <w:tabs>
          <w:tab w:val="left" w:pos="0"/>
          <w:tab w:val="left" w:pos="851"/>
        </w:tabs>
        <w:contextualSpacing/>
        <w:jc w:val="both"/>
        <w:rPr>
          <w:rFonts w:ascii="DejaVu Serif" w:hAnsi="DejaVu Serif"/>
          <w:color w:val="auto"/>
          <w:sz w:val="20"/>
        </w:rPr>
      </w:pPr>
      <w:r>
        <w:rPr>
          <w:rFonts w:ascii="DejaVu Serif" w:hAnsi="DejaVu Serif"/>
          <w:color w:val="auto"/>
          <w:sz w:val="20"/>
        </w:rPr>
        <w:t>Por otra parte</w:t>
      </w:r>
      <w:r w:rsidR="00414E56" w:rsidRPr="00F972FD">
        <w:rPr>
          <w:rFonts w:ascii="DejaVu Serif" w:hAnsi="DejaVu Serif"/>
          <w:color w:val="auto"/>
          <w:sz w:val="20"/>
        </w:rPr>
        <w:t>,</w:t>
      </w:r>
      <w:r w:rsidR="00414E56">
        <w:rPr>
          <w:rFonts w:ascii="DejaVu Serif" w:hAnsi="DejaVu Serif"/>
          <w:color w:val="auto"/>
          <w:sz w:val="20"/>
        </w:rPr>
        <w:t xml:space="preserve"> de acuerdo al TC</w:t>
      </w:r>
      <w:r>
        <w:rPr>
          <w:rFonts w:ascii="DejaVu Serif" w:hAnsi="DejaVu Serif"/>
          <w:color w:val="auto"/>
          <w:sz w:val="20"/>
        </w:rPr>
        <w:t>,</w:t>
      </w:r>
      <w:r w:rsidR="00414E56" w:rsidRPr="00F972FD">
        <w:rPr>
          <w:rFonts w:ascii="DejaVu Serif" w:hAnsi="DejaVu Serif"/>
          <w:color w:val="auto"/>
          <w:sz w:val="20"/>
        </w:rPr>
        <w:t xml:space="preserve"> la redacción del</w:t>
      </w:r>
      <w:r w:rsidR="00414E56" w:rsidRPr="00F972FD">
        <w:rPr>
          <w:rFonts w:ascii="DejaVu Serif" w:hAnsi="DejaVu Serif"/>
          <w:b/>
          <w:color w:val="auto"/>
          <w:sz w:val="20"/>
        </w:rPr>
        <w:t xml:space="preserve"> </w:t>
      </w:r>
      <w:r w:rsidR="00414E56" w:rsidRPr="00F972FD">
        <w:rPr>
          <w:rFonts w:ascii="DejaVu Serif" w:hAnsi="DejaVu Serif"/>
          <w:color w:val="auto"/>
          <w:sz w:val="20"/>
        </w:rPr>
        <w:t>inciso segundo del</w:t>
      </w:r>
      <w:r w:rsidR="00414E56" w:rsidRPr="00F972FD">
        <w:rPr>
          <w:rFonts w:ascii="DejaVu Serif" w:hAnsi="DejaVu Serif"/>
          <w:b/>
          <w:color w:val="auto"/>
          <w:sz w:val="20"/>
        </w:rPr>
        <w:t xml:space="preserve"> </w:t>
      </w:r>
      <w:r w:rsidR="00414E56">
        <w:rPr>
          <w:rFonts w:ascii="DejaVu Serif" w:hAnsi="DejaVu Serif"/>
          <w:sz w:val="20"/>
        </w:rPr>
        <w:t>artículo</w:t>
      </w:r>
      <w:r w:rsidR="00414E56" w:rsidRPr="00F972FD">
        <w:rPr>
          <w:rFonts w:ascii="DejaVu Serif" w:hAnsi="DejaVu Serif"/>
          <w:color w:val="auto"/>
          <w:sz w:val="20"/>
        </w:rPr>
        <w:t xml:space="preserve"> 8° es taxativa. En efecto, si se hubiera querido hacer pública toda la información que produzca o esté en poder de la Administración, no hubiera utilizado las expresiones “acto”, “resolución”, </w:t>
      </w:r>
      <w:r w:rsidR="00414E56" w:rsidRPr="00687DF5">
        <w:rPr>
          <w:rFonts w:ascii="DejaVu Serif" w:hAnsi="DejaVu Serif"/>
          <w:color w:val="auto"/>
          <w:sz w:val="20"/>
        </w:rPr>
        <w:t xml:space="preserve">“fundamentos” y “procedimientos”. Asimismo, en la lógica de la redacción taxativa cabe considerar que el inciso segundo del </w:t>
      </w:r>
      <w:r w:rsidR="00414E56" w:rsidRPr="00687DF5">
        <w:rPr>
          <w:rFonts w:ascii="DejaVu Serif" w:hAnsi="DejaVu Serif"/>
          <w:sz w:val="20"/>
        </w:rPr>
        <w:t>artículo</w:t>
      </w:r>
      <w:r w:rsidR="00414E56" w:rsidRPr="00687DF5">
        <w:rPr>
          <w:rFonts w:ascii="DejaVu Serif" w:hAnsi="DejaVu Serif"/>
          <w:color w:val="auto"/>
          <w:sz w:val="20"/>
        </w:rPr>
        <w:t xml:space="preserve"> 8° de la CPR comienza señalando: “son públicos…”. </w:t>
      </w:r>
    </w:p>
    <w:p w14:paraId="748397DE" w14:textId="77777777" w:rsidR="00414E56" w:rsidRPr="00687DF5" w:rsidRDefault="00414E56" w:rsidP="00C21635">
      <w:pPr>
        <w:pStyle w:val="Normal1"/>
        <w:tabs>
          <w:tab w:val="left" w:pos="0"/>
        </w:tabs>
        <w:jc w:val="both"/>
        <w:rPr>
          <w:rFonts w:ascii="DejaVu Serif" w:hAnsi="DejaVu Serif"/>
          <w:color w:val="auto"/>
          <w:sz w:val="20"/>
        </w:rPr>
      </w:pPr>
    </w:p>
    <w:p w14:paraId="77662398" w14:textId="77777777" w:rsidR="00414E56" w:rsidRPr="00687DF5" w:rsidRDefault="00414E56" w:rsidP="00C21635">
      <w:pPr>
        <w:pStyle w:val="Normal1"/>
        <w:tabs>
          <w:tab w:val="left" w:pos="0"/>
        </w:tabs>
        <w:jc w:val="both"/>
        <w:rPr>
          <w:rFonts w:ascii="DejaVu Serif" w:hAnsi="DejaVu Serif"/>
          <w:color w:val="auto"/>
          <w:sz w:val="20"/>
        </w:rPr>
      </w:pPr>
      <w:r w:rsidRPr="00687DF5">
        <w:rPr>
          <w:rFonts w:ascii="DejaVu Serif" w:hAnsi="DejaVu Serif"/>
          <w:color w:val="auto"/>
          <w:sz w:val="20"/>
        </w:rPr>
        <w:t>También, el Tribunal Constitucional fundamentó su decisión alegando razones prácticas e inherentes al actuar de la burocracia nacional. En efecto, sostuvo</w:t>
      </w:r>
      <w:r>
        <w:rPr>
          <w:rFonts w:ascii="DejaVu Serif" w:hAnsi="DejaVu Serif"/>
          <w:color w:val="auto"/>
          <w:sz w:val="20"/>
        </w:rPr>
        <w:t xml:space="preserve"> que</w:t>
      </w:r>
      <w:r w:rsidRPr="00687DF5">
        <w:rPr>
          <w:rFonts w:ascii="DejaVu Serif" w:hAnsi="DejaVu Serif"/>
          <w:color w:val="auto"/>
          <w:sz w:val="20"/>
        </w:rPr>
        <w:t xml:space="preserve"> es un: </w:t>
      </w:r>
    </w:p>
    <w:p w14:paraId="2470797A" w14:textId="77777777" w:rsidR="00414E56" w:rsidRPr="00687DF5" w:rsidRDefault="00414E56" w:rsidP="00C21635">
      <w:pPr>
        <w:pStyle w:val="Normal1"/>
        <w:tabs>
          <w:tab w:val="left" w:pos="567"/>
        </w:tabs>
        <w:ind w:left="567"/>
        <w:jc w:val="both"/>
        <w:rPr>
          <w:rFonts w:ascii="DejaVu Serif" w:hAnsi="DejaVu Serif"/>
          <w:color w:val="auto"/>
          <w:sz w:val="20"/>
        </w:rPr>
      </w:pPr>
    </w:p>
    <w:p w14:paraId="09F10F85" w14:textId="77777777" w:rsidR="00414E56" w:rsidRPr="00687DF5" w:rsidRDefault="00414E56" w:rsidP="00C21635">
      <w:pPr>
        <w:pStyle w:val="Normal1"/>
        <w:tabs>
          <w:tab w:val="left" w:pos="567"/>
        </w:tabs>
        <w:ind w:left="567"/>
        <w:jc w:val="both"/>
        <w:rPr>
          <w:rFonts w:ascii="DejaVu Serif" w:hAnsi="DejaVu Serif"/>
          <w:color w:val="auto"/>
          <w:sz w:val="20"/>
        </w:rPr>
      </w:pPr>
      <w:r w:rsidRPr="00687DF5">
        <w:rPr>
          <w:rFonts w:ascii="DejaVu Serif" w:hAnsi="DejaVu Serif"/>
          <w:color w:val="auto"/>
          <w:sz w:val="20"/>
        </w:rPr>
        <w:t>[</w:t>
      </w:r>
      <w:proofErr w:type="gramStart"/>
      <w:r w:rsidRPr="00687DF5">
        <w:rPr>
          <w:rFonts w:ascii="DejaVu Serif" w:hAnsi="DejaVu Serif"/>
          <w:color w:val="auto"/>
          <w:sz w:val="20"/>
        </w:rPr>
        <w:t>h]</w:t>
      </w:r>
      <w:proofErr w:type="gramEnd"/>
      <w:r w:rsidRPr="00687DF5">
        <w:rPr>
          <w:rFonts w:ascii="DejaVu Serif" w:hAnsi="DejaVu Serif"/>
          <w:color w:val="auto"/>
          <w:sz w:val="20"/>
        </w:rPr>
        <w:t xml:space="preserve">echo que impone la realidad, que la naturaleza humana tiende a ser más prudente y recatada si sabe que sus actos serán conocidos. En general, esto puede ser positivo. Sin embargo, ello puede afectar la deliberación técnica, restando </w:t>
      </w:r>
      <w:r w:rsidRPr="00687DF5">
        <w:rPr>
          <w:rFonts w:ascii="DejaVu Serif" w:hAnsi="DejaVu Serif"/>
          <w:color w:val="auto"/>
          <w:sz w:val="20"/>
        </w:rPr>
        <w:t>espontaneidad, franqueza, dureza, en los diálogos, consejos o asesorías dentro de los órganos llamados a tomar decisiones</w:t>
      </w:r>
      <w:r w:rsidRPr="00687DF5">
        <w:rPr>
          <w:rStyle w:val="Refdenotaalpie"/>
          <w:rFonts w:ascii="DejaVu Serif" w:hAnsi="DejaVu Serif"/>
          <w:color w:val="auto"/>
          <w:sz w:val="20"/>
        </w:rPr>
        <w:footnoteReference w:id="8"/>
      </w:r>
      <w:r w:rsidRPr="00687DF5">
        <w:rPr>
          <w:rFonts w:ascii="DejaVu Serif" w:hAnsi="DejaVu Serif"/>
          <w:color w:val="auto"/>
          <w:sz w:val="20"/>
        </w:rPr>
        <w:t xml:space="preserve">. </w:t>
      </w:r>
    </w:p>
    <w:p w14:paraId="7FED1EC1" w14:textId="77777777" w:rsidR="00414E56" w:rsidRDefault="00414E56" w:rsidP="00C21635">
      <w:pPr>
        <w:pStyle w:val="Normal1"/>
        <w:tabs>
          <w:tab w:val="left" w:pos="0"/>
        </w:tabs>
        <w:jc w:val="both"/>
        <w:rPr>
          <w:rFonts w:ascii="DejaVu Serif" w:hAnsi="DejaVu Serif"/>
          <w:color w:val="auto"/>
          <w:sz w:val="20"/>
        </w:rPr>
      </w:pPr>
    </w:p>
    <w:p w14:paraId="46C1D038" w14:textId="77777777" w:rsidR="00414E56" w:rsidRDefault="00414E56" w:rsidP="00C21635">
      <w:pPr>
        <w:pStyle w:val="Normal1"/>
        <w:tabs>
          <w:tab w:val="left" w:pos="0"/>
        </w:tabs>
        <w:jc w:val="both"/>
        <w:rPr>
          <w:rFonts w:ascii="DejaVu Serif" w:hAnsi="DejaVu Serif"/>
          <w:color w:val="auto"/>
          <w:sz w:val="20"/>
        </w:rPr>
      </w:pPr>
      <w:r>
        <w:rPr>
          <w:rFonts w:ascii="DejaVu Serif" w:hAnsi="DejaVu Serif"/>
          <w:color w:val="auto"/>
          <w:sz w:val="20"/>
        </w:rPr>
        <w:t>Así, h</w:t>
      </w:r>
      <w:r w:rsidRPr="00F972FD">
        <w:rPr>
          <w:rFonts w:ascii="DejaVu Serif" w:hAnsi="DejaVu Serif"/>
          <w:color w:val="auto"/>
          <w:sz w:val="20"/>
        </w:rPr>
        <w:t>ay actos que nunca serán públicos, como por ejemplo las conversaciones, reuniones, llamados telefónicos, diálogos, órdenes verbales, entre los funcionarios, especialmente porque no existe registro de ellos. En cambio, lo que se incorpora a un expediente administrativo</w:t>
      </w:r>
      <w:r w:rsidRPr="00F972FD">
        <w:rPr>
          <w:rFonts w:ascii="DejaVu Serif" w:hAnsi="DejaVu Serif"/>
          <w:color w:val="auto"/>
          <w:sz w:val="20"/>
          <w:vertAlign w:val="superscript"/>
        </w:rPr>
        <w:footnoteReference w:id="9"/>
      </w:r>
      <w:r w:rsidRPr="00F972FD">
        <w:rPr>
          <w:rFonts w:ascii="DejaVu Serif" w:hAnsi="DejaVu Serif"/>
          <w:color w:val="auto"/>
          <w:sz w:val="20"/>
        </w:rPr>
        <w:t xml:space="preserve"> si es público, como por ejemplo los documentos, las actuaciones, las resoluciones, los informes, las notificaciones y comunicaciones, los escritos, presentados por los órganos de la Administración, por los interesados, o por terceros. </w:t>
      </w:r>
    </w:p>
    <w:p w14:paraId="145DC2CC" w14:textId="77777777" w:rsidR="00414E56" w:rsidRPr="00F972FD" w:rsidRDefault="00414E56" w:rsidP="00414E56">
      <w:pPr>
        <w:pStyle w:val="Normal1"/>
        <w:tabs>
          <w:tab w:val="left" w:pos="0"/>
        </w:tabs>
        <w:jc w:val="both"/>
        <w:rPr>
          <w:rFonts w:ascii="DejaVu Serif" w:hAnsi="DejaVu Serif"/>
          <w:color w:val="auto"/>
          <w:sz w:val="20"/>
        </w:rPr>
      </w:pPr>
    </w:p>
    <w:p w14:paraId="54C18BDA" w14:textId="3EA8357B" w:rsidR="00414E56" w:rsidRPr="00414E56" w:rsidRDefault="00414E56" w:rsidP="00126B97">
      <w:pPr>
        <w:pStyle w:val="NormalWeb"/>
        <w:spacing w:after="0" w:line="240" w:lineRule="auto"/>
        <w:ind w:left="709" w:right="397" w:hanging="709"/>
        <w:rPr>
          <w:rFonts w:ascii="Courier New" w:hAnsi="Courier New" w:cs="Courier New"/>
          <w:b/>
          <w:color w:val="000000"/>
          <w:sz w:val="27"/>
          <w:szCs w:val="27"/>
          <w:lang w:val="es-CL"/>
        </w:rPr>
      </w:pPr>
      <w:r w:rsidRPr="00414E56">
        <w:rPr>
          <w:rFonts w:ascii="DejaVu Serif" w:hAnsi="DejaVu Serif"/>
          <w:b/>
          <w:sz w:val="20"/>
          <w:lang w:val="es-CL"/>
        </w:rPr>
        <w:t xml:space="preserve">2. </w:t>
      </w:r>
      <w:r w:rsidR="00126B97">
        <w:rPr>
          <w:rFonts w:ascii="DejaVu Serif" w:hAnsi="DejaVu Serif"/>
          <w:b/>
          <w:sz w:val="20"/>
          <w:lang w:val="es-CL"/>
        </w:rPr>
        <w:tab/>
      </w:r>
      <w:r w:rsidRPr="00414E56">
        <w:rPr>
          <w:rFonts w:ascii="DejaVu Serif" w:hAnsi="DejaVu Serif"/>
          <w:b/>
          <w:sz w:val="20"/>
          <w:lang w:val="es-CL"/>
        </w:rPr>
        <w:t>Sentencia de la causa rol 3.111-16</w:t>
      </w:r>
    </w:p>
    <w:p w14:paraId="56188447" w14:textId="77777777" w:rsidR="00126B97" w:rsidRDefault="00126B97" w:rsidP="00126B97">
      <w:pPr>
        <w:spacing w:after="0"/>
        <w:jc w:val="both"/>
        <w:rPr>
          <w:rFonts w:ascii="DejaVu Serif" w:hAnsi="DejaVu Serif"/>
          <w:sz w:val="20"/>
          <w:lang w:val="es-CL"/>
        </w:rPr>
      </w:pPr>
    </w:p>
    <w:p w14:paraId="61E7938F" w14:textId="144C7984" w:rsidR="00414E56" w:rsidRDefault="00414E56" w:rsidP="00C21635">
      <w:pPr>
        <w:spacing w:after="0"/>
        <w:jc w:val="both"/>
        <w:rPr>
          <w:rFonts w:ascii="DejaVu Serif" w:hAnsi="DejaVu Serif"/>
          <w:sz w:val="20"/>
          <w:lang w:val="es-CL"/>
        </w:rPr>
      </w:pPr>
      <w:r w:rsidRPr="00414E56">
        <w:rPr>
          <w:rFonts w:ascii="DejaVu Serif" w:hAnsi="DejaVu Serif"/>
          <w:sz w:val="20"/>
          <w:lang w:val="es-CL"/>
        </w:rPr>
        <w:t>La sentencia en comento</w:t>
      </w:r>
      <w:r w:rsidRPr="00CE6D7A">
        <w:rPr>
          <w:rFonts w:ascii="DejaVu Serif" w:hAnsi="DejaVu Serif"/>
          <w:sz w:val="20"/>
          <w:vertAlign w:val="superscript"/>
        </w:rPr>
        <w:footnoteReference w:id="10"/>
      </w:r>
      <w:r w:rsidRPr="00414E56">
        <w:rPr>
          <w:rFonts w:ascii="DejaVu Serif" w:hAnsi="DejaVu Serif"/>
          <w:sz w:val="20"/>
          <w:lang w:val="es-CL"/>
        </w:rPr>
        <w:t>señaló en el considerando vigesimocuarto que, en primer lugar, el artículo 8° no establece el principio de transparencia (</w:t>
      </w:r>
      <w:r w:rsidR="0033740B">
        <w:rPr>
          <w:rFonts w:ascii="DejaVu Serif" w:hAnsi="DejaVu Serif"/>
          <w:sz w:val="20"/>
          <w:lang w:val="es-CL"/>
        </w:rPr>
        <w:t xml:space="preserve">ver </w:t>
      </w:r>
      <w:r w:rsidRPr="00414E56">
        <w:rPr>
          <w:rFonts w:ascii="DejaVu Serif" w:hAnsi="DejaVu Serif"/>
          <w:sz w:val="20"/>
          <w:lang w:val="es-CL"/>
        </w:rPr>
        <w:t>sentencia causa rol 1.990-2012). En segundo lugar, que la CPR no consagra un derecho de acceso a la información de un modo expreso (</w:t>
      </w:r>
      <w:r w:rsidR="0033740B">
        <w:rPr>
          <w:rFonts w:ascii="DejaVu Serif" w:hAnsi="DejaVu Serif"/>
          <w:sz w:val="20"/>
          <w:lang w:val="es-CL"/>
        </w:rPr>
        <w:t xml:space="preserve">ver </w:t>
      </w:r>
      <w:r w:rsidRPr="00414E56">
        <w:rPr>
          <w:rFonts w:ascii="DejaVu Serif" w:hAnsi="DejaVu Serif"/>
          <w:sz w:val="20"/>
          <w:lang w:val="es-CL"/>
        </w:rPr>
        <w:t>sentencia de la causa rol 634-2007). En tercer lugar, que la Constitución no habla de información (</w:t>
      </w:r>
      <w:r w:rsidR="0033740B">
        <w:rPr>
          <w:rFonts w:ascii="DejaVu Serif" w:hAnsi="DejaVu Serif"/>
          <w:sz w:val="20"/>
          <w:lang w:val="es-CL"/>
        </w:rPr>
        <w:t xml:space="preserve">ver </w:t>
      </w:r>
      <w:r w:rsidRPr="00414E56">
        <w:rPr>
          <w:rFonts w:ascii="DejaVu Serif" w:hAnsi="DejaVu Serif"/>
          <w:sz w:val="20"/>
          <w:lang w:val="es-CL"/>
        </w:rPr>
        <w:t>sentencias de las causas roles 2.246-2012, 2.153-2013 y 2.379-2013).</w:t>
      </w:r>
    </w:p>
    <w:p w14:paraId="2A5B43BF" w14:textId="77777777" w:rsidR="00C21635" w:rsidRPr="00414E56" w:rsidRDefault="00C21635" w:rsidP="00C21635">
      <w:pPr>
        <w:spacing w:after="0"/>
        <w:jc w:val="both"/>
        <w:rPr>
          <w:rFonts w:ascii="DejaVu Serif" w:hAnsi="DejaVu Serif"/>
          <w:sz w:val="20"/>
          <w:lang w:val="es-CL"/>
        </w:rPr>
      </w:pPr>
    </w:p>
    <w:p w14:paraId="352C1D72" w14:textId="1F285300" w:rsidR="0033740B" w:rsidRDefault="00414E56" w:rsidP="00C21635">
      <w:pPr>
        <w:spacing w:after="0"/>
        <w:jc w:val="both"/>
        <w:rPr>
          <w:rFonts w:ascii="DejaVu Serif" w:hAnsi="DejaVu Serif"/>
          <w:sz w:val="20"/>
          <w:lang w:val="es-CL"/>
        </w:rPr>
      </w:pPr>
      <w:r w:rsidRPr="00414E56">
        <w:rPr>
          <w:rFonts w:ascii="DejaVu Serif" w:hAnsi="DejaVu Serif"/>
          <w:sz w:val="20"/>
          <w:lang w:val="es-CL"/>
        </w:rPr>
        <w:t>Reiterando, el Tribunal indicó que, en efecto, tal como l</w:t>
      </w:r>
      <w:r w:rsidR="0033740B">
        <w:rPr>
          <w:rFonts w:ascii="DejaVu Serif" w:hAnsi="DejaVu Serif"/>
          <w:sz w:val="20"/>
          <w:lang w:val="es-CL"/>
        </w:rPr>
        <w:t>o</w:t>
      </w:r>
      <w:r w:rsidRPr="00414E56">
        <w:rPr>
          <w:rFonts w:ascii="DejaVu Serif" w:hAnsi="DejaVu Serif"/>
          <w:sz w:val="20"/>
          <w:lang w:val="es-CL"/>
        </w:rPr>
        <w:t xml:space="preserve"> ha sostenido en las sentencias de las causas roles 2.246-2012, 2.153-2013, 2.379-2013 y 2.907-2016, la Ley N° 20.285 introduce el concepto de información. Esta expresión, no la usa la Constitución. En cambio, la Ley citada la utiliza en abundancia, </w:t>
      </w:r>
    </w:p>
    <w:p w14:paraId="0A42CC2F" w14:textId="77777777" w:rsidR="00C21635" w:rsidRDefault="00C21635" w:rsidP="00C21635">
      <w:pPr>
        <w:spacing w:after="0"/>
        <w:jc w:val="both"/>
        <w:rPr>
          <w:rFonts w:ascii="DejaVu Serif" w:hAnsi="DejaVu Serif"/>
          <w:sz w:val="20"/>
          <w:lang w:val="es-CL"/>
        </w:rPr>
      </w:pPr>
    </w:p>
    <w:p w14:paraId="1395E99F" w14:textId="126664AD" w:rsidR="00414E56" w:rsidRDefault="0033740B" w:rsidP="00C21635">
      <w:pPr>
        <w:spacing w:after="0"/>
        <w:ind w:left="567"/>
        <w:jc w:val="both"/>
        <w:rPr>
          <w:rFonts w:ascii="DejaVu Serif" w:hAnsi="DejaVu Serif"/>
          <w:sz w:val="20"/>
          <w:lang w:val="es-CL"/>
        </w:rPr>
      </w:pPr>
      <w:r>
        <w:rPr>
          <w:rFonts w:ascii="DejaVu Serif" w:hAnsi="DejaVu Serif"/>
          <w:sz w:val="20"/>
          <w:lang w:val="es-CL"/>
        </w:rPr>
        <w:t>[</w:t>
      </w:r>
      <w:proofErr w:type="gramStart"/>
      <w:r w:rsidR="00414E56" w:rsidRPr="00414E56">
        <w:rPr>
          <w:rFonts w:ascii="DejaVu Serif" w:hAnsi="DejaVu Serif"/>
          <w:sz w:val="20"/>
          <w:lang w:val="es-CL"/>
        </w:rPr>
        <w:t>d</w:t>
      </w:r>
      <w:r>
        <w:rPr>
          <w:rFonts w:ascii="DejaVu Serif" w:hAnsi="DejaVu Serif"/>
          <w:sz w:val="20"/>
          <w:lang w:val="es-CL"/>
        </w:rPr>
        <w:t>]</w:t>
      </w:r>
      <w:proofErr w:type="spellStart"/>
      <w:proofErr w:type="gramEnd"/>
      <w:r w:rsidR="00414E56" w:rsidRPr="00414E56">
        <w:rPr>
          <w:rFonts w:ascii="DejaVu Serif" w:hAnsi="DejaVu Serif"/>
          <w:sz w:val="20"/>
          <w:lang w:val="es-CL"/>
        </w:rPr>
        <w:t>esde</w:t>
      </w:r>
      <w:proofErr w:type="spellEnd"/>
      <w:r w:rsidR="00414E56" w:rsidRPr="00414E56">
        <w:rPr>
          <w:rFonts w:ascii="DejaVu Serif" w:hAnsi="DejaVu Serif"/>
          <w:sz w:val="20"/>
          <w:lang w:val="es-CL"/>
        </w:rPr>
        <w:t xml:space="preserve"> el título de la ley misma (“Sobre acceso a la información pública”) hasta en una serie de disposiciones. Baste señalar que el derecho de acceso es definido como “solicitar y recibir información” (artículo 10, inciso primero)</w:t>
      </w:r>
      <w:r w:rsidR="00414E56" w:rsidRPr="00CE6D7A">
        <w:rPr>
          <w:rFonts w:ascii="DejaVu Serif" w:hAnsi="DejaVu Serif"/>
          <w:sz w:val="20"/>
          <w:vertAlign w:val="superscript"/>
        </w:rPr>
        <w:footnoteReference w:id="11"/>
      </w:r>
      <w:r w:rsidR="00414E56" w:rsidRPr="00414E56">
        <w:rPr>
          <w:rFonts w:ascii="DejaVu Serif" w:hAnsi="DejaVu Serif"/>
          <w:sz w:val="20"/>
          <w:lang w:val="es-CL"/>
        </w:rPr>
        <w:t>.</w:t>
      </w:r>
    </w:p>
    <w:p w14:paraId="3F9FD9BA" w14:textId="77777777" w:rsidR="00C21635" w:rsidRPr="00414E56" w:rsidRDefault="00C21635" w:rsidP="00C21635">
      <w:pPr>
        <w:spacing w:after="0"/>
        <w:ind w:left="567"/>
        <w:jc w:val="both"/>
        <w:rPr>
          <w:rFonts w:ascii="DejaVu Serif" w:hAnsi="DejaVu Serif"/>
          <w:sz w:val="20"/>
          <w:lang w:val="es-CL"/>
        </w:rPr>
      </w:pPr>
    </w:p>
    <w:p w14:paraId="4B4E4D1A" w14:textId="5FEC5E38" w:rsidR="00414E56" w:rsidRDefault="00414E56" w:rsidP="00C21635">
      <w:pPr>
        <w:spacing w:after="0"/>
        <w:jc w:val="both"/>
        <w:rPr>
          <w:rFonts w:ascii="DejaVu Serif" w:hAnsi="DejaVu Serif"/>
          <w:sz w:val="20"/>
          <w:lang w:val="es-CL"/>
        </w:rPr>
      </w:pPr>
      <w:r w:rsidRPr="00414E56">
        <w:rPr>
          <w:rFonts w:ascii="DejaVu Serif" w:hAnsi="DejaVu Serif"/>
          <w:sz w:val="20"/>
          <w:lang w:val="es-CL"/>
        </w:rPr>
        <w:t>Luego, haciéndose cargo del espíritu del legislador y reiterando su jurisprudencia (</w:t>
      </w:r>
      <w:r w:rsidR="004B085F">
        <w:rPr>
          <w:rFonts w:ascii="DejaVu Serif" w:hAnsi="DejaVu Serif"/>
          <w:sz w:val="20"/>
          <w:lang w:val="es-CL"/>
        </w:rPr>
        <w:t xml:space="preserve">ver </w:t>
      </w:r>
      <w:r w:rsidRPr="00414E56">
        <w:rPr>
          <w:rFonts w:ascii="DejaVu Serif" w:hAnsi="DejaVu Serif"/>
          <w:sz w:val="20"/>
          <w:lang w:val="es-CL"/>
        </w:rPr>
        <w:t>sentencias de las causas roles 2.246-2012, 2.153-2013, 2.379-2013 y 2.907-2016), el TC señaló que existe abundante información en la historia legislativa de la Ley N° 20.285</w:t>
      </w:r>
      <w:r w:rsidRPr="00CE6D7A">
        <w:rPr>
          <w:rFonts w:ascii="DejaVu Serif" w:hAnsi="DejaVu Serif"/>
          <w:sz w:val="20"/>
          <w:vertAlign w:val="superscript"/>
        </w:rPr>
        <w:footnoteReference w:id="12"/>
      </w:r>
      <w:r w:rsidRPr="00414E56">
        <w:rPr>
          <w:rFonts w:ascii="DejaVu Serif" w:hAnsi="DejaVu Serif"/>
          <w:sz w:val="20"/>
          <w:lang w:val="es-CL"/>
        </w:rPr>
        <w:t xml:space="preserve"> que lo que se buscó, por una parte, fue reproducir lo que establecía la CPR y por la otra, no innovar en los conceptos de acto administrativo que definía la Ley N° 19.880</w:t>
      </w:r>
      <w:r>
        <w:rPr>
          <w:rStyle w:val="Refdenotaalpie"/>
          <w:rFonts w:ascii="DejaVu Serif" w:hAnsi="DejaVu Serif"/>
          <w:sz w:val="20"/>
        </w:rPr>
        <w:footnoteReference w:id="13"/>
      </w:r>
      <w:r w:rsidRPr="00414E56">
        <w:rPr>
          <w:rFonts w:ascii="DejaVu Serif" w:hAnsi="DejaVu Serif"/>
          <w:sz w:val="20"/>
          <w:lang w:val="es-CL"/>
        </w:rPr>
        <w:t>; consignándose expresamente que las deliberaciones no se consideraban actos administrativos</w:t>
      </w:r>
      <w:r w:rsidRPr="00CE6D7A">
        <w:rPr>
          <w:rFonts w:ascii="DejaVu Serif" w:hAnsi="DejaVu Serif"/>
          <w:sz w:val="20"/>
          <w:vertAlign w:val="superscript"/>
        </w:rPr>
        <w:footnoteReference w:id="14"/>
      </w:r>
      <w:r w:rsidRPr="00414E56">
        <w:rPr>
          <w:rFonts w:ascii="DejaVu Serif" w:hAnsi="DejaVu Serif"/>
          <w:sz w:val="20"/>
          <w:lang w:val="es-CL"/>
        </w:rPr>
        <w:t xml:space="preserve">. </w:t>
      </w:r>
    </w:p>
    <w:p w14:paraId="0BC40440" w14:textId="77777777" w:rsidR="00C21635" w:rsidRPr="00414E56" w:rsidRDefault="00C21635" w:rsidP="00C21635">
      <w:pPr>
        <w:spacing w:after="0"/>
        <w:jc w:val="both"/>
        <w:rPr>
          <w:rFonts w:ascii="DejaVu Serif" w:hAnsi="DejaVu Serif"/>
          <w:sz w:val="20"/>
          <w:lang w:val="es-CL"/>
        </w:rPr>
      </w:pPr>
    </w:p>
    <w:p w14:paraId="51A37A1E" w14:textId="77777777" w:rsidR="00414E56" w:rsidRDefault="00414E56" w:rsidP="00C21635">
      <w:pPr>
        <w:spacing w:after="0"/>
        <w:jc w:val="both"/>
        <w:rPr>
          <w:rFonts w:ascii="DejaVu Serif" w:hAnsi="DejaVu Serif"/>
          <w:sz w:val="20"/>
          <w:lang w:val="es-CL"/>
        </w:rPr>
      </w:pPr>
      <w:r w:rsidRPr="00414E56">
        <w:rPr>
          <w:rFonts w:ascii="DejaVu Serif" w:hAnsi="DejaVu Serif"/>
          <w:sz w:val="20"/>
          <w:lang w:val="es-CL"/>
        </w:rPr>
        <w:t>Ante argumentos planteados en la contienda por el Consejo para la Transparencia, el TC señaló</w:t>
      </w:r>
      <w:r w:rsidRPr="00CE6D7A">
        <w:rPr>
          <w:rFonts w:ascii="DejaVu Serif" w:hAnsi="DejaVu Serif"/>
          <w:sz w:val="20"/>
          <w:vertAlign w:val="superscript"/>
        </w:rPr>
        <w:footnoteReference w:id="15"/>
      </w:r>
      <w:r w:rsidRPr="00414E56">
        <w:rPr>
          <w:rFonts w:ascii="DejaVu Serif" w:hAnsi="DejaVu Serif"/>
          <w:sz w:val="20"/>
          <w:lang w:val="es-CL"/>
        </w:rPr>
        <w:t xml:space="preserve"> que si el artículo 8° hubiera querido hacer pública toda la información que produzca o esté en poder de la Administración, no hubiera utilizado las expresiones “acto”, “resolución”, “fundamentos” y “procedimientos”. De acuerdo al TC, el uso de estas expresiones fue para enumerar aquello que específicamente se quería hacer público. </w:t>
      </w:r>
    </w:p>
    <w:p w14:paraId="79E3CD42" w14:textId="77777777" w:rsidR="00C21635" w:rsidRPr="00414E56" w:rsidRDefault="00C21635" w:rsidP="00C21635">
      <w:pPr>
        <w:spacing w:after="0"/>
        <w:jc w:val="both"/>
        <w:rPr>
          <w:rFonts w:ascii="DejaVu Serif" w:hAnsi="DejaVu Serif"/>
          <w:sz w:val="20"/>
          <w:lang w:val="es-CL"/>
        </w:rPr>
      </w:pPr>
    </w:p>
    <w:p w14:paraId="55F28F50" w14:textId="1F713720" w:rsidR="00414E56" w:rsidRDefault="00414E56" w:rsidP="00C21635">
      <w:pPr>
        <w:spacing w:after="0"/>
        <w:jc w:val="both"/>
        <w:rPr>
          <w:rFonts w:ascii="DejaVu Serif" w:hAnsi="DejaVu Serif"/>
          <w:sz w:val="20"/>
          <w:lang w:val="es-CL"/>
        </w:rPr>
      </w:pPr>
      <w:r w:rsidRPr="00414E56">
        <w:rPr>
          <w:rFonts w:ascii="DejaVu Serif" w:hAnsi="DejaVu Serif"/>
          <w:sz w:val="20"/>
          <w:lang w:val="es-CL"/>
        </w:rPr>
        <w:t>Asimismo, el TC planteó que no es efectivo, como lo alegó el Consejo para la Transparencia, que el artículo 8° no tiene una enumeración taxativa de que es público. Explicando</w:t>
      </w:r>
      <w:r w:rsidR="004B085F">
        <w:rPr>
          <w:rFonts w:ascii="DejaVu Serif" w:hAnsi="DejaVu Serif"/>
          <w:sz w:val="20"/>
          <w:lang w:val="es-CL"/>
        </w:rPr>
        <w:t xml:space="preserve"> su razonamiento</w:t>
      </w:r>
      <w:r w:rsidRPr="00414E56">
        <w:rPr>
          <w:rFonts w:ascii="DejaVu Serif" w:hAnsi="DejaVu Serif"/>
          <w:sz w:val="20"/>
          <w:lang w:val="es-CL"/>
        </w:rPr>
        <w:t>, el Tribunal indicó que el Consejo da dos argumentos para tal efecto: i) lo tradicional para las enumeraciones taxativas es que no se encabecen sólo con la expresión “son”, sino que se hagan con una expresión compuesta: “sólo son”. Como el art. 8° sólo dice que “son públicos” ciertos actos, no habría una enumeración taxativa; ii) que se está frente a un principio. Por lo mismo, se debe demostrar no sólo que la ley excede lo dispuesto por la norma constitucional, sino que también lo contraviene</w:t>
      </w:r>
      <w:r w:rsidRPr="00CE6D7A">
        <w:rPr>
          <w:rFonts w:ascii="DejaVu Serif" w:hAnsi="DejaVu Serif"/>
          <w:sz w:val="20"/>
          <w:vertAlign w:val="superscript"/>
        </w:rPr>
        <w:footnoteReference w:id="16"/>
      </w:r>
      <w:r w:rsidRPr="00414E56">
        <w:rPr>
          <w:rFonts w:ascii="DejaVu Serif" w:hAnsi="DejaVu Serif"/>
          <w:sz w:val="20"/>
          <w:lang w:val="es-CL"/>
        </w:rPr>
        <w:t>.</w:t>
      </w:r>
    </w:p>
    <w:p w14:paraId="33465E27" w14:textId="77777777" w:rsidR="00C21635" w:rsidRPr="00414E56" w:rsidRDefault="00C21635" w:rsidP="00C21635">
      <w:pPr>
        <w:spacing w:after="0"/>
        <w:jc w:val="both"/>
        <w:rPr>
          <w:rFonts w:ascii="DejaVu Serif" w:hAnsi="DejaVu Serif"/>
          <w:sz w:val="20"/>
          <w:lang w:val="es-CL"/>
        </w:rPr>
      </w:pPr>
    </w:p>
    <w:p w14:paraId="623AFD62" w14:textId="77777777" w:rsidR="00414E56" w:rsidRDefault="00414E56" w:rsidP="00C21635">
      <w:pPr>
        <w:spacing w:after="0"/>
        <w:jc w:val="both"/>
        <w:rPr>
          <w:rFonts w:ascii="DejaVu Serif" w:hAnsi="DejaVu Serif"/>
          <w:sz w:val="20"/>
          <w:lang w:val="es-CL"/>
        </w:rPr>
      </w:pPr>
      <w:r w:rsidRPr="00414E56">
        <w:rPr>
          <w:rFonts w:ascii="DejaVu Serif" w:hAnsi="DejaVu Serif"/>
          <w:sz w:val="20"/>
          <w:lang w:val="es-CL"/>
        </w:rPr>
        <w:t>Haciéndose cargo de lo alegado por el Consejo para la Transparencia, el TC señaló</w:t>
      </w:r>
      <w:r w:rsidRPr="00CE6D7A">
        <w:rPr>
          <w:rFonts w:ascii="DejaVu Serif" w:hAnsi="DejaVu Serif"/>
          <w:sz w:val="20"/>
          <w:vertAlign w:val="superscript"/>
        </w:rPr>
        <w:footnoteReference w:id="17"/>
      </w:r>
      <w:r w:rsidRPr="00414E56">
        <w:rPr>
          <w:rFonts w:ascii="DejaVu Serif" w:hAnsi="DejaVu Serif"/>
          <w:sz w:val="20"/>
          <w:vertAlign w:val="superscript"/>
          <w:lang w:val="es-CL"/>
        </w:rPr>
        <w:t xml:space="preserve"> </w:t>
      </w:r>
      <w:r w:rsidRPr="00414E56">
        <w:rPr>
          <w:rFonts w:ascii="DejaVu Serif" w:hAnsi="DejaVu Serif"/>
          <w:sz w:val="20"/>
          <w:lang w:val="es-CL"/>
        </w:rPr>
        <w:t>lo siguiente:</w:t>
      </w:r>
    </w:p>
    <w:p w14:paraId="2D96DDB4" w14:textId="77777777" w:rsidR="00C21635" w:rsidRPr="00414E56" w:rsidRDefault="00C21635" w:rsidP="00C21635">
      <w:pPr>
        <w:spacing w:after="0"/>
        <w:jc w:val="both"/>
        <w:rPr>
          <w:rFonts w:ascii="DejaVu Serif" w:hAnsi="DejaVu Serif"/>
          <w:sz w:val="20"/>
          <w:lang w:val="es-CL"/>
        </w:rPr>
      </w:pPr>
    </w:p>
    <w:p w14:paraId="7C3D5752" w14:textId="77777777" w:rsidR="00414E56" w:rsidRPr="00414E56" w:rsidRDefault="00414E56" w:rsidP="006C550E">
      <w:pPr>
        <w:pStyle w:val="Prrafodelista"/>
        <w:numPr>
          <w:ilvl w:val="0"/>
          <w:numId w:val="8"/>
        </w:numPr>
        <w:spacing w:after="0"/>
        <w:ind w:left="426" w:hanging="426"/>
        <w:jc w:val="both"/>
        <w:rPr>
          <w:rFonts w:ascii="DejaVu Serif" w:hAnsi="DejaVu Serif"/>
          <w:sz w:val="20"/>
          <w:lang w:val="es-CL"/>
        </w:rPr>
      </w:pPr>
      <w:r w:rsidRPr="00414E56">
        <w:rPr>
          <w:rFonts w:ascii="DejaVu Serif" w:hAnsi="DejaVu Serif"/>
          <w:sz w:val="20"/>
          <w:lang w:val="es-CL"/>
        </w:rPr>
        <w:t xml:space="preserve">Respecto del primer argumento (tradicional forma de enumerar), es efectivo que en la Constitución en algunas oportunidades se utiliza la forma tradicional de listar </w:t>
      </w:r>
      <w:r w:rsidRPr="00414E56">
        <w:rPr>
          <w:rFonts w:ascii="DejaVu Serif" w:hAnsi="DejaVu Serif"/>
          <w:sz w:val="20"/>
          <w:lang w:val="es-CL"/>
        </w:rPr>
        <w:t>taxativamente ciertos asuntos. Este es el caso de las materias de ley, enumeradas en el artículo 63, cuyo encabezado comienza señalando “sólo son materias de ley”.</w:t>
      </w:r>
    </w:p>
    <w:p w14:paraId="584BE032" w14:textId="77777777" w:rsidR="00414E56" w:rsidRPr="00414E56" w:rsidRDefault="00414E56" w:rsidP="00C21635">
      <w:pPr>
        <w:pStyle w:val="Prrafodelista"/>
        <w:spacing w:after="0"/>
        <w:ind w:left="426"/>
        <w:jc w:val="both"/>
        <w:rPr>
          <w:rFonts w:ascii="DejaVu Serif" w:hAnsi="DejaVu Serif"/>
          <w:sz w:val="20"/>
          <w:lang w:val="es-CL"/>
        </w:rPr>
      </w:pPr>
      <w:r w:rsidRPr="00414E56">
        <w:rPr>
          <w:rFonts w:ascii="DejaVu Serif" w:hAnsi="DejaVu Serif"/>
          <w:sz w:val="20"/>
          <w:lang w:val="es-CL"/>
        </w:rPr>
        <w:t xml:space="preserve">Sin embargo, también la Constitución utiliza el “son” para listados taxativos. Por ejemplo, lo usa para listar quiénes son chilenos (artículo 10); para enumerar las atribuciones especiales del Presidente de la República (artículo 32); las atribuciones exclusivas de la Cámara de Diputados (artículo 52); las atribuciones exclusivas del Senado (artículo 53); las atribuciones exclusivas del Congreso (artículo 54); y las atribuciones del Tribunal Constitucional (artículo 93). </w:t>
      </w:r>
    </w:p>
    <w:p w14:paraId="71E4BE4B" w14:textId="77777777" w:rsidR="00414E56" w:rsidRDefault="00414E56" w:rsidP="00C21635">
      <w:pPr>
        <w:pStyle w:val="Prrafodelista"/>
        <w:spacing w:after="0"/>
        <w:ind w:left="426"/>
        <w:jc w:val="both"/>
        <w:rPr>
          <w:rFonts w:ascii="DejaVu Serif" w:hAnsi="DejaVu Serif"/>
          <w:sz w:val="20"/>
          <w:lang w:val="es-CL"/>
        </w:rPr>
      </w:pPr>
      <w:r w:rsidRPr="00414E56">
        <w:rPr>
          <w:rFonts w:ascii="DejaVu Serif" w:hAnsi="DejaVu Serif"/>
          <w:sz w:val="20"/>
          <w:lang w:val="es-CL"/>
        </w:rPr>
        <w:t>Por lo tanto, la Constitución enumera listados cerrados de las dos maneras. Utilizando en algunos casos la expresión “son” y en otros la fórmula “sólo son”.</w:t>
      </w:r>
    </w:p>
    <w:p w14:paraId="6F65452B" w14:textId="77777777" w:rsidR="00414E56" w:rsidRPr="00414E56" w:rsidRDefault="00414E56" w:rsidP="006C550E">
      <w:pPr>
        <w:pStyle w:val="Prrafodelista"/>
        <w:numPr>
          <w:ilvl w:val="0"/>
          <w:numId w:val="8"/>
        </w:numPr>
        <w:spacing w:after="0"/>
        <w:ind w:left="426" w:hanging="426"/>
        <w:jc w:val="both"/>
        <w:rPr>
          <w:rFonts w:ascii="DejaVu Serif" w:hAnsi="DejaVu Serif"/>
          <w:sz w:val="20"/>
          <w:lang w:val="es-CL"/>
        </w:rPr>
      </w:pPr>
      <w:r w:rsidRPr="00414E56">
        <w:rPr>
          <w:rFonts w:ascii="DejaVu Serif" w:hAnsi="DejaVu Serif"/>
          <w:sz w:val="20"/>
          <w:lang w:val="es-CL"/>
        </w:rPr>
        <w:t>En relación al segundo argumento (el artículo 8° consagra un principio y la carga argumentativa implica no sólo demostrar que se excede el principio, sino que se le contraviene), el TC precisó que no lo comparte por las siguientes razones:</w:t>
      </w:r>
    </w:p>
    <w:p w14:paraId="1B1B81A1" w14:textId="77777777" w:rsidR="00414E56" w:rsidRPr="00414E56" w:rsidRDefault="00414E56" w:rsidP="006C550E">
      <w:pPr>
        <w:pStyle w:val="Prrafodelista"/>
        <w:numPr>
          <w:ilvl w:val="0"/>
          <w:numId w:val="9"/>
        </w:numPr>
        <w:spacing w:after="0"/>
        <w:ind w:left="851" w:hanging="425"/>
        <w:jc w:val="both"/>
        <w:rPr>
          <w:rFonts w:ascii="DejaVu Serif" w:hAnsi="DejaVu Serif"/>
          <w:sz w:val="20"/>
          <w:lang w:val="es-CL"/>
        </w:rPr>
      </w:pPr>
      <w:r w:rsidRPr="00414E56">
        <w:rPr>
          <w:rFonts w:ascii="DejaVu Serif" w:hAnsi="DejaVu Serif"/>
          <w:sz w:val="20"/>
          <w:lang w:val="es-CL"/>
        </w:rPr>
        <w:t xml:space="preserve">Se confunde la interpretación amplia y extensiva que deben tener los principios, como mandatos de optimización, con los vicios o las infracciones normativas que el desarrollo legal pueda hacer de la Constitución. </w:t>
      </w:r>
    </w:p>
    <w:p w14:paraId="0948AC79" w14:textId="77777777" w:rsidR="00414E56" w:rsidRPr="00414E56" w:rsidRDefault="00414E56" w:rsidP="006C550E">
      <w:pPr>
        <w:pStyle w:val="Prrafodelista"/>
        <w:numPr>
          <w:ilvl w:val="0"/>
          <w:numId w:val="9"/>
        </w:numPr>
        <w:spacing w:after="0"/>
        <w:ind w:left="851" w:hanging="425"/>
        <w:jc w:val="both"/>
        <w:rPr>
          <w:rFonts w:ascii="DejaVu Serif" w:hAnsi="DejaVu Serif"/>
          <w:sz w:val="20"/>
          <w:lang w:val="es-CL"/>
        </w:rPr>
      </w:pPr>
      <w:r w:rsidRPr="00414E56">
        <w:rPr>
          <w:rFonts w:ascii="DejaVu Serif" w:hAnsi="DejaVu Serif"/>
          <w:sz w:val="20"/>
          <w:lang w:val="es-CL"/>
        </w:rPr>
        <w:t xml:space="preserve">En el art. 8° hay reglas que el legislador tiene que respetar. Una de esas reglas es la competencia que el constituyente establece respecto de los asuntos que deben regirse por el principio de publicidad. El artículo 8° define por materias aquello que el legislador debe hacer público. Por lo mismo, todo exceso o contravención vulnera el artículo 8°. </w:t>
      </w:r>
    </w:p>
    <w:p w14:paraId="440D4D29" w14:textId="77777777" w:rsidR="00414E56" w:rsidRPr="00414E56" w:rsidRDefault="00414E56" w:rsidP="006C550E">
      <w:pPr>
        <w:pStyle w:val="Prrafodelista"/>
        <w:numPr>
          <w:ilvl w:val="0"/>
          <w:numId w:val="9"/>
        </w:numPr>
        <w:spacing w:after="0"/>
        <w:ind w:left="851" w:hanging="425"/>
        <w:jc w:val="both"/>
        <w:rPr>
          <w:rFonts w:ascii="DejaVu Serif" w:hAnsi="DejaVu Serif"/>
          <w:sz w:val="20"/>
          <w:lang w:val="es-CL"/>
        </w:rPr>
      </w:pPr>
      <w:r w:rsidRPr="00414E56">
        <w:rPr>
          <w:rFonts w:ascii="DejaVu Serif" w:hAnsi="DejaVu Serif"/>
          <w:sz w:val="20"/>
          <w:lang w:val="es-CL"/>
        </w:rPr>
        <w:t xml:space="preserve">Es peligroso introducir la invocación de los principios para considerar que lo que no está prohibido se puede hacer. Eso rompe la legalidad propia de un Estado de Derecho, en que se entregan atribuciones a los organismos, </w:t>
      </w:r>
      <w:r w:rsidRPr="00414E56">
        <w:rPr>
          <w:rFonts w:ascii="DejaVu Serif" w:hAnsi="DejaVu Serif"/>
          <w:sz w:val="20"/>
          <w:lang w:val="es-CL"/>
        </w:rPr>
        <w:lastRenderedPageBreak/>
        <w:t>acotándolas por materia, por territorio, por grado. Cuando un órgano del Estado incurre con sus actuaciones en determinados vicios, no hay cómo saltarse el mandato de validez del artículo 7°, que obliga a los órganos a actuar “dentro de su competencia”.</w:t>
      </w:r>
    </w:p>
    <w:p w14:paraId="4D56085E" w14:textId="77777777" w:rsidR="00414E56" w:rsidRDefault="00414E56" w:rsidP="00414E56">
      <w:pPr>
        <w:pStyle w:val="Normal2"/>
        <w:tabs>
          <w:tab w:val="left" w:pos="0"/>
        </w:tabs>
        <w:ind w:right="40"/>
        <w:contextualSpacing w:val="0"/>
        <w:jc w:val="both"/>
        <w:rPr>
          <w:rFonts w:ascii="DejaVu Serif" w:eastAsia="EB Garamond" w:hAnsi="DejaVu Serif"/>
          <w:color w:val="auto"/>
          <w:sz w:val="20"/>
        </w:rPr>
      </w:pPr>
    </w:p>
    <w:p w14:paraId="788BDC41" w14:textId="589591F1" w:rsidR="00414E56" w:rsidRPr="00126B97" w:rsidRDefault="00414E56" w:rsidP="00126B97">
      <w:pPr>
        <w:ind w:left="709" w:hanging="709"/>
        <w:rPr>
          <w:rFonts w:ascii="DejaVu Serif" w:hAnsi="DejaVu Serif"/>
          <w:b/>
          <w:sz w:val="20"/>
          <w:szCs w:val="20"/>
          <w:lang w:val="es-CL"/>
        </w:rPr>
      </w:pPr>
      <w:r w:rsidRPr="00126B97">
        <w:rPr>
          <w:rFonts w:ascii="DejaVu Serif" w:hAnsi="DejaVu Serif"/>
          <w:b/>
          <w:sz w:val="20"/>
          <w:szCs w:val="20"/>
          <w:lang w:val="es-CL"/>
        </w:rPr>
        <w:t xml:space="preserve">3. </w:t>
      </w:r>
      <w:r w:rsidR="00126B97">
        <w:rPr>
          <w:rFonts w:ascii="DejaVu Serif" w:hAnsi="DejaVu Serif"/>
          <w:b/>
          <w:sz w:val="20"/>
          <w:szCs w:val="20"/>
          <w:lang w:val="es-CL"/>
        </w:rPr>
        <w:tab/>
      </w:r>
      <w:r w:rsidRPr="00126B97">
        <w:rPr>
          <w:rFonts w:ascii="DejaVu Serif" w:hAnsi="DejaVu Serif"/>
          <w:b/>
          <w:sz w:val="20"/>
          <w:szCs w:val="20"/>
          <w:lang w:val="es-CL"/>
        </w:rPr>
        <w:t>Sentencia de la causa rol 1.990-2011</w:t>
      </w:r>
    </w:p>
    <w:p w14:paraId="5E877F5C" w14:textId="4ADB0797" w:rsidR="00414E56" w:rsidRDefault="00414E56" w:rsidP="00414E56">
      <w:pPr>
        <w:pStyle w:val="Normal1"/>
        <w:tabs>
          <w:tab w:val="left" w:pos="0"/>
        </w:tabs>
        <w:jc w:val="both"/>
        <w:rPr>
          <w:rFonts w:ascii="DejaVu Serif" w:hAnsi="DejaVu Serif"/>
          <w:color w:val="auto"/>
          <w:sz w:val="20"/>
        </w:rPr>
      </w:pPr>
      <w:r w:rsidRPr="00F972FD">
        <w:rPr>
          <w:rFonts w:ascii="DejaVu Serif" w:hAnsi="DejaVu Serif"/>
          <w:color w:val="auto"/>
          <w:sz w:val="20"/>
        </w:rPr>
        <w:t>La causa rol 1.990-2</w:t>
      </w:r>
      <w:r w:rsidR="00126B97">
        <w:rPr>
          <w:rFonts w:ascii="DejaVu Serif" w:hAnsi="DejaVu Serif"/>
          <w:color w:val="auto"/>
          <w:sz w:val="20"/>
        </w:rPr>
        <w:t>0</w:t>
      </w:r>
      <w:r w:rsidRPr="00F972FD">
        <w:rPr>
          <w:rFonts w:ascii="DejaVu Serif" w:hAnsi="DejaVu Serif"/>
          <w:color w:val="auto"/>
          <w:sz w:val="20"/>
        </w:rPr>
        <w:t xml:space="preserve">11 también se originó en un requerimiento de inaplicabilidad por inconstitucionalidad, respecto del inciso segundo del </w:t>
      </w:r>
      <w:r w:rsidRPr="00F972FD">
        <w:rPr>
          <w:rFonts w:ascii="DejaVu Serif" w:eastAsia="EB Garamond" w:hAnsi="DejaVu Serif"/>
          <w:color w:val="auto"/>
          <w:sz w:val="20"/>
        </w:rPr>
        <w:t>art</w:t>
      </w:r>
      <w:r>
        <w:rPr>
          <w:rFonts w:ascii="DejaVu Serif" w:eastAsia="EB Garamond" w:hAnsi="DejaVu Serif"/>
          <w:color w:val="auto"/>
          <w:sz w:val="20"/>
        </w:rPr>
        <w:t>ículo</w:t>
      </w:r>
      <w:r w:rsidRPr="00F972FD">
        <w:rPr>
          <w:rFonts w:ascii="DejaVu Serif" w:hAnsi="DejaVu Serif"/>
          <w:color w:val="auto"/>
          <w:sz w:val="20"/>
        </w:rPr>
        <w:t xml:space="preserve"> 5° de la Ley </w:t>
      </w:r>
      <w:r>
        <w:rPr>
          <w:rFonts w:ascii="DejaVu Serif" w:hAnsi="DejaVu Serif"/>
          <w:color w:val="auto"/>
          <w:sz w:val="20"/>
        </w:rPr>
        <w:t xml:space="preserve">N° </w:t>
      </w:r>
      <w:r w:rsidRPr="00F972FD">
        <w:rPr>
          <w:rFonts w:ascii="DejaVu Serif" w:hAnsi="DejaVu Serif"/>
          <w:color w:val="auto"/>
          <w:sz w:val="20"/>
        </w:rPr>
        <w:t>20.285.</w:t>
      </w:r>
    </w:p>
    <w:p w14:paraId="0F2DD6F9" w14:textId="77777777" w:rsidR="00414E56" w:rsidRPr="00F972FD" w:rsidRDefault="00414E56" w:rsidP="00414E56">
      <w:pPr>
        <w:pStyle w:val="Normal1"/>
        <w:tabs>
          <w:tab w:val="left" w:pos="0"/>
        </w:tabs>
        <w:jc w:val="both"/>
        <w:rPr>
          <w:rFonts w:ascii="DejaVu Serif" w:hAnsi="DejaVu Serif"/>
          <w:color w:val="auto"/>
          <w:sz w:val="20"/>
        </w:rPr>
      </w:pPr>
    </w:p>
    <w:p w14:paraId="6C9CCD2B" w14:textId="23CFA30B" w:rsidR="00414E56" w:rsidRPr="00F972FD" w:rsidRDefault="00414E56" w:rsidP="00414E56">
      <w:pPr>
        <w:pStyle w:val="Normal1"/>
        <w:tabs>
          <w:tab w:val="left" w:pos="0"/>
        </w:tabs>
        <w:jc w:val="both"/>
        <w:rPr>
          <w:rFonts w:ascii="DejaVu Serif" w:hAnsi="DejaVu Serif"/>
          <w:sz w:val="20"/>
        </w:rPr>
      </w:pPr>
      <w:r w:rsidRPr="00F972FD">
        <w:rPr>
          <w:rFonts w:ascii="DejaVu Serif" w:hAnsi="DejaVu Serif"/>
          <w:color w:val="auto"/>
          <w:sz w:val="20"/>
        </w:rPr>
        <w:t>En primer lugar, la sentencia asever</w:t>
      </w:r>
      <w:r>
        <w:rPr>
          <w:rFonts w:ascii="DejaVu Serif" w:hAnsi="DejaVu Serif"/>
          <w:color w:val="auto"/>
          <w:sz w:val="20"/>
        </w:rPr>
        <w:t>ó</w:t>
      </w:r>
      <w:r w:rsidRPr="00F972FD">
        <w:rPr>
          <w:rFonts w:ascii="DejaVu Serif" w:hAnsi="DejaVu Serif"/>
          <w:color w:val="auto"/>
          <w:sz w:val="20"/>
        </w:rPr>
        <w:t xml:space="preserve"> que e</w:t>
      </w:r>
      <w:r w:rsidRPr="00F972FD">
        <w:rPr>
          <w:rFonts w:ascii="DejaVu Serif" w:hAnsi="DejaVu Serif"/>
          <w:sz w:val="20"/>
        </w:rPr>
        <w:t xml:space="preserve">l </w:t>
      </w:r>
      <w:r w:rsidRPr="00F972FD">
        <w:rPr>
          <w:rFonts w:ascii="DejaVu Serif" w:eastAsia="EB Garamond" w:hAnsi="DejaVu Serif"/>
          <w:color w:val="auto"/>
          <w:sz w:val="20"/>
        </w:rPr>
        <w:t>art</w:t>
      </w:r>
      <w:r>
        <w:rPr>
          <w:rFonts w:ascii="DejaVu Serif" w:eastAsia="EB Garamond" w:hAnsi="DejaVu Serif"/>
          <w:color w:val="auto"/>
          <w:sz w:val="20"/>
        </w:rPr>
        <w:t>ículo</w:t>
      </w:r>
      <w:r w:rsidRPr="00F972FD">
        <w:rPr>
          <w:rFonts w:ascii="DejaVu Serif" w:hAnsi="DejaVu Serif"/>
          <w:sz w:val="20"/>
        </w:rPr>
        <w:t xml:space="preserve"> 8° de la CPR no establece una declaración genérica de publicidad de ciertos aspectos de la actuación de los órganos del Estado. </w:t>
      </w:r>
      <w:r w:rsidR="001F2549">
        <w:rPr>
          <w:rFonts w:ascii="DejaVu Serif" w:hAnsi="DejaVu Serif"/>
          <w:sz w:val="20"/>
        </w:rPr>
        <w:t>La norma n</w:t>
      </w:r>
      <w:r w:rsidRPr="00F972FD">
        <w:rPr>
          <w:rFonts w:ascii="DejaVu Serif" w:hAnsi="DejaVu Serif"/>
          <w:sz w:val="20"/>
        </w:rPr>
        <w:t>o habl</w:t>
      </w:r>
      <w:r w:rsidR="001F2549">
        <w:rPr>
          <w:rFonts w:ascii="DejaVu Serif" w:hAnsi="DejaVu Serif"/>
          <w:sz w:val="20"/>
        </w:rPr>
        <w:t>a</w:t>
      </w:r>
      <w:r w:rsidRPr="00F972FD">
        <w:rPr>
          <w:rFonts w:ascii="DejaVu Serif" w:hAnsi="DejaVu Serif"/>
          <w:sz w:val="20"/>
        </w:rPr>
        <w:t xml:space="preserve"> ni de acceso, ni de entrega, ni de transparencia</w:t>
      </w:r>
      <w:r>
        <w:rPr>
          <w:rFonts w:ascii="DejaVu Serif" w:hAnsi="DejaVu Serif"/>
          <w:sz w:val="20"/>
        </w:rPr>
        <w:t>, tampoco</w:t>
      </w:r>
      <w:r w:rsidRPr="00F972FD">
        <w:rPr>
          <w:rFonts w:ascii="DejaVu Serif" w:hAnsi="DejaVu Serif"/>
          <w:sz w:val="20"/>
        </w:rPr>
        <w:t xml:space="preserve"> de información.</w:t>
      </w:r>
    </w:p>
    <w:p w14:paraId="5677EC19" w14:textId="77777777" w:rsidR="00414E56" w:rsidRDefault="00414E56" w:rsidP="00414E56">
      <w:pPr>
        <w:pStyle w:val="Normal1"/>
        <w:tabs>
          <w:tab w:val="left" w:pos="0"/>
          <w:tab w:val="left" w:pos="567"/>
        </w:tabs>
        <w:jc w:val="both"/>
        <w:rPr>
          <w:rFonts w:ascii="DejaVu Serif" w:hAnsi="DejaVu Serif"/>
          <w:sz w:val="20"/>
        </w:rPr>
      </w:pPr>
    </w:p>
    <w:p w14:paraId="51A95020" w14:textId="77777777" w:rsidR="00414E56" w:rsidRDefault="00414E56" w:rsidP="00414E56">
      <w:pPr>
        <w:pStyle w:val="Normal1"/>
        <w:tabs>
          <w:tab w:val="left" w:pos="0"/>
          <w:tab w:val="left" w:pos="567"/>
        </w:tabs>
        <w:jc w:val="both"/>
        <w:rPr>
          <w:rFonts w:ascii="DejaVu Serif" w:hAnsi="DejaVu Serif"/>
          <w:sz w:val="20"/>
        </w:rPr>
      </w:pPr>
      <w:r w:rsidRPr="00F972FD">
        <w:rPr>
          <w:rFonts w:ascii="DejaVu Serif" w:hAnsi="DejaVu Serif"/>
          <w:sz w:val="20"/>
        </w:rPr>
        <w:t>Luego, el fallo precis</w:t>
      </w:r>
      <w:r>
        <w:rPr>
          <w:rFonts w:ascii="DejaVu Serif" w:hAnsi="DejaVu Serif"/>
          <w:sz w:val="20"/>
        </w:rPr>
        <w:t>ó</w:t>
      </w:r>
      <w:r w:rsidRPr="00F972FD">
        <w:rPr>
          <w:rFonts w:ascii="DejaVu Serif" w:hAnsi="DejaVu Serif"/>
          <w:sz w:val="20"/>
        </w:rPr>
        <w:t xml:space="preserve"> que la norma no </w:t>
      </w:r>
      <w:r w:rsidRPr="00067BF3">
        <w:rPr>
          <w:rFonts w:ascii="DejaVu Serif" w:hAnsi="DejaVu Serif"/>
          <w:sz w:val="20"/>
        </w:rPr>
        <w:t>establece un principio de publicidad y tampoco dispone que los órganos del Estado deben “dar estricto cumplimiento” a</w:t>
      </w:r>
      <w:r w:rsidRPr="00F972FD">
        <w:rPr>
          <w:rFonts w:ascii="DejaVu Serif" w:hAnsi="DejaVu Serif"/>
          <w:sz w:val="20"/>
        </w:rPr>
        <w:t xml:space="preserve"> ella y que esto, constituye un elemento de interpretación, frente a otras disposiciones constitucionales que sí establecen una consideración de esta naturaleza</w:t>
      </w:r>
      <w:r w:rsidRPr="00F972FD">
        <w:rPr>
          <w:rStyle w:val="Refdenotaalpie"/>
          <w:rFonts w:ascii="DejaVu Serif" w:hAnsi="DejaVu Serif"/>
          <w:i/>
          <w:sz w:val="20"/>
        </w:rPr>
        <w:footnoteReference w:id="18"/>
      </w:r>
      <w:r w:rsidRPr="00F972FD">
        <w:rPr>
          <w:rFonts w:ascii="DejaVu Serif" w:hAnsi="DejaVu Serif"/>
          <w:sz w:val="20"/>
        </w:rPr>
        <w:t>.</w:t>
      </w:r>
    </w:p>
    <w:p w14:paraId="6773BBAE" w14:textId="77777777" w:rsidR="00414E56" w:rsidRDefault="00414E56" w:rsidP="00414E56">
      <w:pPr>
        <w:pStyle w:val="Normal1"/>
        <w:tabs>
          <w:tab w:val="left" w:pos="0"/>
          <w:tab w:val="left" w:pos="567"/>
        </w:tabs>
        <w:jc w:val="both"/>
        <w:rPr>
          <w:rFonts w:ascii="DejaVu Serif" w:hAnsi="DejaVu Serif"/>
          <w:sz w:val="20"/>
        </w:rPr>
      </w:pPr>
    </w:p>
    <w:p w14:paraId="5DF3FD2B" w14:textId="5E6444A2" w:rsidR="00414E56" w:rsidRDefault="006F1E40" w:rsidP="00414E56">
      <w:pPr>
        <w:pStyle w:val="Normal1"/>
        <w:tabs>
          <w:tab w:val="left" w:pos="0"/>
        </w:tabs>
        <w:jc w:val="both"/>
        <w:rPr>
          <w:rFonts w:ascii="DejaVu Serif" w:hAnsi="DejaVu Serif"/>
          <w:sz w:val="20"/>
        </w:rPr>
      </w:pPr>
      <w:r>
        <w:rPr>
          <w:rFonts w:ascii="DejaVu Serif" w:hAnsi="DejaVu Serif"/>
          <w:sz w:val="20"/>
        </w:rPr>
        <w:t>Esta</w:t>
      </w:r>
      <w:r w:rsidR="00414E56" w:rsidRPr="00F972FD">
        <w:rPr>
          <w:rFonts w:ascii="DejaVu Serif" w:hAnsi="DejaVu Serif"/>
          <w:sz w:val="20"/>
        </w:rPr>
        <w:t xml:space="preserve"> sentencia clarific</w:t>
      </w:r>
      <w:r w:rsidR="00414E56">
        <w:rPr>
          <w:rFonts w:ascii="DejaVu Serif" w:hAnsi="DejaVu Serif"/>
          <w:sz w:val="20"/>
        </w:rPr>
        <w:t>ó</w:t>
      </w:r>
      <w:r>
        <w:rPr>
          <w:rFonts w:ascii="DejaVu Serif" w:hAnsi="DejaVu Serif"/>
          <w:sz w:val="20"/>
        </w:rPr>
        <w:t>,</w:t>
      </w:r>
      <w:r w:rsidR="00414E56">
        <w:rPr>
          <w:rFonts w:ascii="DejaVu Serif" w:hAnsi="DejaVu Serif"/>
          <w:sz w:val="20"/>
        </w:rPr>
        <w:t xml:space="preserve"> </w:t>
      </w:r>
      <w:r w:rsidR="00414E56" w:rsidRPr="00F972FD">
        <w:rPr>
          <w:rFonts w:ascii="DejaVu Serif" w:hAnsi="DejaVu Serif"/>
          <w:sz w:val="20"/>
        </w:rPr>
        <w:t>con meridiano detalle</w:t>
      </w:r>
      <w:r>
        <w:rPr>
          <w:rFonts w:ascii="DejaVu Serif" w:hAnsi="DejaVu Serif"/>
          <w:sz w:val="20"/>
        </w:rPr>
        <w:t>,</w:t>
      </w:r>
      <w:r w:rsidR="00414E56" w:rsidRPr="00F972FD">
        <w:rPr>
          <w:rFonts w:ascii="DejaVu Serif" w:hAnsi="DejaVu Serif"/>
          <w:sz w:val="20"/>
        </w:rPr>
        <w:t xml:space="preserve"> el alcance de las cuatro dimensiones de lo que es público en el actuar de los órganos del Estado (actos, resoluciones, fundamentos y procedimientos)</w:t>
      </w:r>
      <w:r w:rsidR="00414E56" w:rsidRPr="00F972FD">
        <w:rPr>
          <w:rStyle w:val="Refdenotaalpie"/>
          <w:rFonts w:ascii="DejaVu Serif" w:hAnsi="DejaVu Serif"/>
          <w:sz w:val="20"/>
        </w:rPr>
        <w:footnoteReference w:id="19"/>
      </w:r>
      <w:r w:rsidR="00414E56">
        <w:rPr>
          <w:rFonts w:ascii="DejaVu Serif" w:hAnsi="DejaVu Serif"/>
          <w:sz w:val="20"/>
        </w:rPr>
        <w:t xml:space="preserve">  a saber</w:t>
      </w:r>
      <w:r w:rsidR="00414E56" w:rsidRPr="00F972FD">
        <w:rPr>
          <w:rFonts w:ascii="DejaVu Serif" w:hAnsi="DejaVu Serif"/>
          <w:sz w:val="20"/>
        </w:rPr>
        <w:t xml:space="preserve">: </w:t>
      </w:r>
    </w:p>
    <w:p w14:paraId="7444373B" w14:textId="77777777" w:rsidR="00414E56" w:rsidRPr="00F972FD" w:rsidRDefault="00414E56" w:rsidP="00414E56">
      <w:pPr>
        <w:pStyle w:val="Normal1"/>
        <w:tabs>
          <w:tab w:val="left" w:pos="0"/>
        </w:tabs>
        <w:jc w:val="both"/>
        <w:rPr>
          <w:rFonts w:ascii="DejaVu Serif" w:hAnsi="DejaVu Serif"/>
          <w:sz w:val="20"/>
        </w:rPr>
      </w:pPr>
    </w:p>
    <w:p w14:paraId="7807BFC0" w14:textId="77777777" w:rsidR="00414E56" w:rsidRPr="00F972FD" w:rsidRDefault="00414E56" w:rsidP="006C550E">
      <w:pPr>
        <w:pStyle w:val="Normal1"/>
        <w:numPr>
          <w:ilvl w:val="0"/>
          <w:numId w:val="6"/>
        </w:numPr>
        <w:tabs>
          <w:tab w:val="left" w:pos="0"/>
        </w:tabs>
        <w:ind w:left="426" w:right="49" w:hanging="426"/>
        <w:jc w:val="both"/>
        <w:rPr>
          <w:rFonts w:ascii="DejaVu Serif" w:hAnsi="DejaVu Serif"/>
          <w:sz w:val="20"/>
        </w:rPr>
      </w:pPr>
      <w:r w:rsidRPr="00F972FD">
        <w:rPr>
          <w:rFonts w:ascii="DejaVu Serif" w:hAnsi="DejaVu Serif"/>
          <w:sz w:val="20"/>
        </w:rPr>
        <w:t xml:space="preserve">Los actos y resoluciones: Los actos comprenden, de manera genérica, la forma en que los órganos del Estado expresan su voluntad. Caben aquí las leyes y los actos administrativos, sea que decidan o no. </w:t>
      </w:r>
    </w:p>
    <w:p w14:paraId="5C54298D" w14:textId="77777777" w:rsidR="00414E56" w:rsidRPr="00F972FD" w:rsidRDefault="00414E56" w:rsidP="006C550E">
      <w:pPr>
        <w:pStyle w:val="Normal1"/>
        <w:numPr>
          <w:ilvl w:val="0"/>
          <w:numId w:val="6"/>
        </w:numPr>
        <w:tabs>
          <w:tab w:val="left" w:pos="0"/>
        </w:tabs>
        <w:ind w:left="426" w:right="49" w:hanging="426"/>
        <w:jc w:val="both"/>
        <w:rPr>
          <w:rFonts w:ascii="DejaVu Serif" w:hAnsi="DejaVu Serif"/>
          <w:sz w:val="20"/>
        </w:rPr>
      </w:pPr>
      <w:r w:rsidRPr="00F972FD">
        <w:rPr>
          <w:rFonts w:ascii="DejaVu Serif" w:hAnsi="DejaVu Serif"/>
          <w:sz w:val="20"/>
        </w:rPr>
        <w:t>En la expresión “resoluciones”, por su parte, se incluyen las que emanan de las municipalidades, de los jefes de servicio y los reglamentos regionales. También quedan comprendidas aquí las sentencias.</w:t>
      </w:r>
    </w:p>
    <w:p w14:paraId="23CAE95B" w14:textId="77777777" w:rsidR="00414E56" w:rsidRPr="00F972FD" w:rsidRDefault="00414E56" w:rsidP="006C550E">
      <w:pPr>
        <w:pStyle w:val="Normal1"/>
        <w:numPr>
          <w:ilvl w:val="0"/>
          <w:numId w:val="6"/>
        </w:numPr>
        <w:tabs>
          <w:tab w:val="left" w:pos="0"/>
        </w:tabs>
        <w:ind w:left="426" w:right="49" w:hanging="426"/>
        <w:jc w:val="both"/>
        <w:rPr>
          <w:rFonts w:ascii="DejaVu Serif" w:hAnsi="DejaVu Serif"/>
          <w:sz w:val="20"/>
        </w:rPr>
      </w:pPr>
      <w:r w:rsidRPr="00F972FD">
        <w:rPr>
          <w:rFonts w:ascii="DejaVu Serif" w:hAnsi="DejaVu Serif"/>
          <w:sz w:val="20"/>
        </w:rPr>
        <w:t xml:space="preserve">Fundamentos de esos actos. Es decir, las motivaciones. En algunas ocasiones, éstas </w:t>
      </w:r>
      <w:r w:rsidRPr="00F972FD">
        <w:rPr>
          <w:rFonts w:ascii="DejaVu Serif" w:hAnsi="DejaVu Serif"/>
          <w:sz w:val="20"/>
        </w:rPr>
        <w:t>forman parte del acto mismo, como en las sentencias y los actos administrativos desfavorables, las resoluciones que resuelven recursos administrativos y las que ponen término a un procedimiento, que por mandato de la ley deben fundarse siempre. Respecto de los actos y resoluciones que no llevan en sí mismos sus fundamentos, se debe procurar poder acceder a conocerlos. Nada dice la Constitución respecto de la oportunidad en que debe hacerse público el fundamento. Éste, por tanto, puede conocerse simultáneamente con el acto o con posterioridad; y hacerse público de oficio o a petición de parte interesada. Ello lo tendrá que establecer la ley.</w:t>
      </w:r>
    </w:p>
    <w:p w14:paraId="3A670773" w14:textId="77777777" w:rsidR="00414E56" w:rsidRPr="00F972FD" w:rsidRDefault="00414E56" w:rsidP="006C550E">
      <w:pPr>
        <w:pStyle w:val="Normal1"/>
        <w:numPr>
          <w:ilvl w:val="0"/>
          <w:numId w:val="6"/>
        </w:numPr>
        <w:tabs>
          <w:tab w:val="left" w:pos="0"/>
        </w:tabs>
        <w:ind w:left="426" w:right="49" w:hanging="426"/>
        <w:jc w:val="both"/>
        <w:rPr>
          <w:rFonts w:ascii="DejaVu Serif" w:hAnsi="DejaVu Serif"/>
          <w:sz w:val="20"/>
        </w:rPr>
      </w:pPr>
      <w:r w:rsidRPr="00F972FD">
        <w:rPr>
          <w:rFonts w:ascii="DejaVu Serif" w:hAnsi="DejaVu Serif"/>
          <w:sz w:val="20"/>
        </w:rPr>
        <w:t>Procedimientos que utilizan los órganos del Estado para adoptar sus decisiones. Ello implica acceder a los expedientes, donde constan los trámites por los cuales pasa una decisión.</w:t>
      </w:r>
    </w:p>
    <w:p w14:paraId="1D9593E2" w14:textId="77777777" w:rsidR="00414E56" w:rsidRPr="00F972FD" w:rsidRDefault="00414E56" w:rsidP="00414E56">
      <w:pPr>
        <w:pStyle w:val="Normal2"/>
        <w:tabs>
          <w:tab w:val="left" w:pos="0"/>
          <w:tab w:val="left" w:pos="2835"/>
        </w:tabs>
        <w:contextualSpacing w:val="0"/>
        <w:jc w:val="both"/>
        <w:rPr>
          <w:rFonts w:ascii="DejaVu Serif" w:hAnsi="DejaVu Serif"/>
          <w:sz w:val="20"/>
        </w:rPr>
      </w:pPr>
    </w:p>
    <w:p w14:paraId="0E56F50F" w14:textId="04B6B1D4" w:rsidR="00414E56" w:rsidRPr="00127F81" w:rsidRDefault="00414E56" w:rsidP="00127F81">
      <w:pPr>
        <w:tabs>
          <w:tab w:val="left" w:pos="709"/>
        </w:tabs>
        <w:rPr>
          <w:rFonts w:ascii="DejaVu Serif" w:hAnsi="DejaVu Serif"/>
          <w:b/>
          <w:sz w:val="20"/>
          <w:szCs w:val="20"/>
          <w:lang w:val="es-CL"/>
        </w:rPr>
      </w:pPr>
      <w:r w:rsidRPr="00127F81">
        <w:rPr>
          <w:rFonts w:ascii="DejaVu Serif" w:hAnsi="DejaVu Serif"/>
          <w:b/>
          <w:sz w:val="20"/>
          <w:szCs w:val="20"/>
          <w:lang w:val="es-CL"/>
        </w:rPr>
        <w:t xml:space="preserve">4. </w:t>
      </w:r>
      <w:r w:rsidR="00127F81">
        <w:rPr>
          <w:rFonts w:ascii="DejaVu Serif" w:hAnsi="DejaVu Serif"/>
          <w:b/>
          <w:sz w:val="20"/>
          <w:szCs w:val="20"/>
          <w:lang w:val="es-CL"/>
        </w:rPr>
        <w:tab/>
      </w:r>
      <w:r w:rsidRPr="00127F81">
        <w:rPr>
          <w:rFonts w:ascii="DejaVu Serif" w:hAnsi="DejaVu Serif"/>
          <w:b/>
          <w:sz w:val="20"/>
          <w:szCs w:val="20"/>
          <w:lang w:val="es-CL"/>
        </w:rPr>
        <w:t>Sentencia de la causa rol 2.246-2012</w:t>
      </w:r>
    </w:p>
    <w:p w14:paraId="69218C37" w14:textId="77777777" w:rsidR="00414E56" w:rsidRPr="00F972FD" w:rsidRDefault="00414E56" w:rsidP="00414E56">
      <w:pPr>
        <w:pStyle w:val="Normal1"/>
        <w:tabs>
          <w:tab w:val="left" w:pos="0"/>
        </w:tabs>
        <w:jc w:val="both"/>
        <w:rPr>
          <w:rFonts w:ascii="DejaVu Serif" w:hAnsi="DejaVu Serif"/>
          <w:sz w:val="20"/>
        </w:rPr>
      </w:pPr>
      <w:r w:rsidRPr="00F972FD">
        <w:rPr>
          <w:rFonts w:ascii="DejaVu Serif" w:hAnsi="DejaVu Serif"/>
          <w:color w:val="auto"/>
          <w:sz w:val="20"/>
        </w:rPr>
        <w:t xml:space="preserve">La sentencia de la causa rol 2.246-2012 del Tribunal Constitucional, también se originó en un requerimiento de inaplicabilidad por inconstitucionalidad, respecto del inciso segundo del </w:t>
      </w:r>
      <w:r w:rsidRPr="00F972FD">
        <w:rPr>
          <w:rFonts w:ascii="DejaVu Serif" w:eastAsia="EB Garamond" w:hAnsi="DejaVu Serif"/>
          <w:color w:val="auto"/>
          <w:sz w:val="20"/>
        </w:rPr>
        <w:t>art</w:t>
      </w:r>
      <w:r>
        <w:rPr>
          <w:rFonts w:ascii="DejaVu Serif" w:eastAsia="EB Garamond" w:hAnsi="DejaVu Serif"/>
          <w:color w:val="auto"/>
          <w:sz w:val="20"/>
        </w:rPr>
        <w:t>ículo</w:t>
      </w:r>
      <w:r w:rsidRPr="00F972FD">
        <w:rPr>
          <w:rFonts w:ascii="DejaVu Serif" w:hAnsi="DejaVu Serif"/>
          <w:color w:val="auto"/>
          <w:sz w:val="20"/>
        </w:rPr>
        <w:t xml:space="preserve"> 5° de la Ley 20.285, en la causa de la I. Corte de Apelaciones de Santiago, rol 2.496-2012.</w:t>
      </w:r>
      <w:r w:rsidRPr="00F972FD">
        <w:rPr>
          <w:rStyle w:val="Refdenotaalpie"/>
          <w:rFonts w:ascii="DejaVu Serif" w:hAnsi="DejaVu Serif"/>
          <w:color w:val="auto"/>
          <w:sz w:val="20"/>
        </w:rPr>
        <w:footnoteReference w:id="20"/>
      </w:r>
      <w:r w:rsidRPr="00F972FD">
        <w:rPr>
          <w:rFonts w:ascii="DejaVu Serif" w:hAnsi="DejaVu Serif"/>
          <w:color w:val="auto"/>
          <w:sz w:val="20"/>
        </w:rPr>
        <w:t xml:space="preserve">. </w:t>
      </w:r>
      <w:r>
        <w:rPr>
          <w:rFonts w:ascii="DejaVu Serif" w:hAnsi="DejaVu Serif"/>
          <w:color w:val="auto"/>
          <w:sz w:val="20"/>
        </w:rPr>
        <w:t>La</w:t>
      </w:r>
      <w:r w:rsidRPr="00F972FD">
        <w:rPr>
          <w:rFonts w:ascii="DejaVu Serif" w:hAnsi="DejaVu Serif"/>
          <w:color w:val="auto"/>
          <w:sz w:val="20"/>
        </w:rPr>
        <w:t xml:space="preserve"> sentencia, reiter</w:t>
      </w:r>
      <w:r>
        <w:rPr>
          <w:rFonts w:ascii="DejaVu Serif" w:hAnsi="DejaVu Serif"/>
          <w:color w:val="auto"/>
          <w:sz w:val="20"/>
        </w:rPr>
        <w:t>ó</w:t>
      </w:r>
      <w:r w:rsidRPr="00F972FD">
        <w:rPr>
          <w:rFonts w:ascii="DejaVu Serif" w:hAnsi="DejaVu Serif"/>
          <w:color w:val="auto"/>
          <w:sz w:val="20"/>
        </w:rPr>
        <w:t xml:space="preserve"> en lo esencial la doctrina de</w:t>
      </w:r>
      <w:r w:rsidRPr="00F972FD">
        <w:rPr>
          <w:rFonts w:ascii="DejaVu Serif" w:hAnsi="DejaVu Serif"/>
          <w:sz w:val="20"/>
        </w:rPr>
        <w:t xml:space="preserve"> sentencia de la causa rol 2.153-2011. </w:t>
      </w:r>
    </w:p>
    <w:p w14:paraId="470CFCF6" w14:textId="77777777" w:rsidR="00414E56" w:rsidRDefault="00414E56" w:rsidP="00414E56">
      <w:pPr>
        <w:pStyle w:val="Normal1"/>
        <w:tabs>
          <w:tab w:val="left" w:pos="0"/>
          <w:tab w:val="left" w:pos="2835"/>
        </w:tabs>
        <w:jc w:val="both"/>
        <w:rPr>
          <w:rFonts w:ascii="DejaVu Serif" w:hAnsi="DejaVu Serif"/>
          <w:sz w:val="20"/>
        </w:rPr>
      </w:pPr>
    </w:p>
    <w:p w14:paraId="5851412F" w14:textId="487D78DC" w:rsidR="00414E56" w:rsidRPr="00687DF5" w:rsidRDefault="00567CC7" w:rsidP="00414E56">
      <w:pPr>
        <w:pStyle w:val="Normal1"/>
        <w:tabs>
          <w:tab w:val="left" w:pos="0"/>
          <w:tab w:val="left" w:pos="2835"/>
        </w:tabs>
        <w:jc w:val="both"/>
        <w:rPr>
          <w:rFonts w:ascii="DejaVu Serif" w:hAnsi="DejaVu Serif"/>
          <w:sz w:val="20"/>
        </w:rPr>
      </w:pPr>
      <w:r>
        <w:rPr>
          <w:rFonts w:ascii="DejaVu Serif" w:hAnsi="DejaVu Serif"/>
          <w:sz w:val="20"/>
        </w:rPr>
        <w:t>La sentencia agregó, en términos argumentativos,</w:t>
      </w:r>
      <w:r w:rsidR="00414E56" w:rsidRPr="00687DF5">
        <w:rPr>
          <w:rFonts w:ascii="DejaVu Serif" w:hAnsi="DejaVu Serif"/>
          <w:sz w:val="20"/>
        </w:rPr>
        <w:t xml:space="preserve"> que “no toda información” es pública y que todo exceso en ese espacio normativo, es una infracción constitucional, es decir “un vicio en el actuar de los órganos de la administración, es decir un “</w:t>
      </w:r>
      <w:r w:rsidR="00414E56" w:rsidRPr="00687DF5">
        <w:rPr>
          <w:rFonts w:ascii="DejaVu Serif" w:hAnsi="DejaVu Serif"/>
          <w:iCs/>
          <w:sz w:val="20"/>
        </w:rPr>
        <w:t>abuso o exceso en el ejercicio de sus potestades</w:t>
      </w:r>
      <w:r w:rsidR="00414E56" w:rsidRPr="00687DF5">
        <w:rPr>
          <w:rFonts w:ascii="DejaVu Serif" w:hAnsi="DejaVu Serif"/>
          <w:sz w:val="20"/>
        </w:rPr>
        <w:t xml:space="preserve">” (en base al </w:t>
      </w:r>
      <w:r w:rsidR="00414E56">
        <w:rPr>
          <w:rFonts w:ascii="DejaVu Serif" w:hAnsi="DejaVu Serif"/>
          <w:sz w:val="20"/>
        </w:rPr>
        <w:t>artículo</w:t>
      </w:r>
      <w:r w:rsidR="00414E56" w:rsidRPr="00687DF5">
        <w:rPr>
          <w:rFonts w:ascii="DejaVu Serif" w:hAnsi="DejaVu Serif"/>
          <w:sz w:val="20"/>
        </w:rPr>
        <w:t xml:space="preserve"> 2°, Ley Orgánica Constitucional de Bases Generales de la Administración del Estado)</w:t>
      </w:r>
      <w:r w:rsidR="00414E56" w:rsidRPr="00687DF5">
        <w:rPr>
          <w:rStyle w:val="Refdenotaalpie"/>
          <w:rFonts w:ascii="DejaVu Serif" w:hAnsi="DejaVu Serif"/>
          <w:sz w:val="20"/>
        </w:rPr>
        <w:footnoteReference w:id="21"/>
      </w:r>
      <w:r w:rsidR="00414E56" w:rsidRPr="00687DF5">
        <w:rPr>
          <w:rFonts w:ascii="DejaVu Serif" w:hAnsi="DejaVu Serif"/>
          <w:sz w:val="20"/>
        </w:rPr>
        <w:t>.</w:t>
      </w:r>
    </w:p>
    <w:p w14:paraId="403E7D6B" w14:textId="77777777" w:rsidR="00414E56" w:rsidRPr="00F972FD" w:rsidRDefault="00414E56" w:rsidP="00414E56">
      <w:pPr>
        <w:pStyle w:val="Normal1"/>
        <w:tabs>
          <w:tab w:val="left" w:pos="0"/>
          <w:tab w:val="left" w:pos="2835"/>
        </w:tabs>
        <w:jc w:val="both"/>
        <w:rPr>
          <w:rFonts w:ascii="DejaVu Serif" w:hAnsi="DejaVu Serif"/>
          <w:color w:val="auto"/>
          <w:sz w:val="20"/>
        </w:rPr>
      </w:pPr>
    </w:p>
    <w:p w14:paraId="32DFC901" w14:textId="2AB25FF5" w:rsidR="00414E56" w:rsidRPr="007D2538" w:rsidRDefault="00414E56" w:rsidP="007D2538">
      <w:pPr>
        <w:tabs>
          <w:tab w:val="left" w:pos="709"/>
        </w:tabs>
        <w:rPr>
          <w:rFonts w:ascii="DejaVu Serif" w:hAnsi="DejaVu Serif"/>
          <w:b/>
          <w:sz w:val="20"/>
          <w:szCs w:val="20"/>
          <w:lang w:val="es-CL"/>
        </w:rPr>
      </w:pPr>
      <w:r w:rsidRPr="007D2538">
        <w:rPr>
          <w:rFonts w:ascii="DejaVu Serif" w:hAnsi="DejaVu Serif"/>
          <w:b/>
          <w:sz w:val="20"/>
          <w:szCs w:val="20"/>
          <w:lang w:val="es-CL"/>
        </w:rPr>
        <w:t xml:space="preserve">5. </w:t>
      </w:r>
      <w:r w:rsidR="007D2538">
        <w:rPr>
          <w:rFonts w:ascii="DejaVu Serif" w:hAnsi="DejaVu Serif"/>
          <w:b/>
          <w:sz w:val="20"/>
          <w:szCs w:val="20"/>
          <w:lang w:val="es-CL"/>
        </w:rPr>
        <w:tab/>
      </w:r>
      <w:r w:rsidRPr="007D2538">
        <w:rPr>
          <w:rFonts w:ascii="DejaVu Serif" w:hAnsi="DejaVu Serif"/>
          <w:b/>
          <w:sz w:val="20"/>
          <w:szCs w:val="20"/>
          <w:lang w:val="es-CL"/>
        </w:rPr>
        <w:t>Sentencia de la causa rol 2.379-2012</w:t>
      </w:r>
    </w:p>
    <w:p w14:paraId="7DB6643F" w14:textId="12F67370" w:rsidR="00414E56" w:rsidRDefault="00414E56" w:rsidP="00C21635">
      <w:pPr>
        <w:pStyle w:val="Normal1"/>
        <w:tabs>
          <w:tab w:val="left" w:pos="0"/>
        </w:tabs>
        <w:jc w:val="both"/>
        <w:rPr>
          <w:rFonts w:ascii="DejaVu Serif" w:hAnsi="DejaVu Serif"/>
          <w:sz w:val="20"/>
        </w:rPr>
      </w:pPr>
      <w:r w:rsidRPr="00F972FD">
        <w:rPr>
          <w:rFonts w:ascii="DejaVu Serif" w:hAnsi="DejaVu Serif"/>
          <w:sz w:val="20"/>
        </w:rPr>
        <w:t>La sentencia de la causa rol 2.379</w:t>
      </w:r>
      <w:r w:rsidR="00DB206D">
        <w:rPr>
          <w:rFonts w:ascii="DejaVu Serif" w:hAnsi="DejaVu Serif"/>
          <w:sz w:val="20"/>
        </w:rPr>
        <w:t xml:space="preserve">-2012 reitera la doctrina que sostiene </w:t>
      </w:r>
      <w:r w:rsidRPr="00F972FD">
        <w:rPr>
          <w:rFonts w:ascii="DejaVu Serif" w:hAnsi="DejaVu Serif"/>
          <w:sz w:val="20"/>
        </w:rPr>
        <w:t>que solamente ciertos aspectos de los actos administrativos son públicos.</w:t>
      </w:r>
    </w:p>
    <w:p w14:paraId="5930CED4" w14:textId="77777777" w:rsidR="00414E56" w:rsidRPr="00F972FD" w:rsidRDefault="00414E56" w:rsidP="00C21635">
      <w:pPr>
        <w:pStyle w:val="Normal1"/>
        <w:tabs>
          <w:tab w:val="left" w:pos="0"/>
        </w:tabs>
        <w:jc w:val="both"/>
        <w:rPr>
          <w:rFonts w:ascii="DejaVu Serif" w:hAnsi="DejaVu Serif"/>
          <w:sz w:val="20"/>
        </w:rPr>
      </w:pPr>
    </w:p>
    <w:p w14:paraId="407B844A" w14:textId="70BE7634" w:rsidR="00414E56" w:rsidRDefault="00414E56" w:rsidP="00C21635">
      <w:pPr>
        <w:pStyle w:val="Normal1"/>
        <w:tabs>
          <w:tab w:val="left" w:pos="0"/>
        </w:tabs>
        <w:jc w:val="both"/>
        <w:rPr>
          <w:rFonts w:ascii="DejaVu Serif" w:hAnsi="DejaVu Serif"/>
          <w:sz w:val="20"/>
        </w:rPr>
      </w:pPr>
      <w:r w:rsidRPr="00F972FD">
        <w:rPr>
          <w:rFonts w:ascii="DejaVu Serif" w:hAnsi="DejaVu Serif"/>
          <w:sz w:val="20"/>
        </w:rPr>
        <w:t xml:space="preserve">Destacamos de esta sentencia, que el </w:t>
      </w:r>
      <w:r w:rsidR="00DB206D">
        <w:rPr>
          <w:rFonts w:ascii="DejaVu Serif" w:hAnsi="DejaVu Serif"/>
          <w:sz w:val="20"/>
        </w:rPr>
        <w:t>TC</w:t>
      </w:r>
      <w:r w:rsidRPr="00F972FD">
        <w:rPr>
          <w:rStyle w:val="Refdenotaalpie"/>
          <w:rFonts w:ascii="DejaVu Serif" w:hAnsi="DejaVu Serif"/>
          <w:sz w:val="20"/>
        </w:rPr>
        <w:footnoteReference w:id="22"/>
      </w:r>
      <w:r w:rsidRPr="00F972FD">
        <w:rPr>
          <w:rFonts w:ascii="DejaVu Serif" w:hAnsi="DejaVu Serif"/>
          <w:sz w:val="20"/>
        </w:rPr>
        <w:t xml:space="preserve"> afirm</w:t>
      </w:r>
      <w:r>
        <w:rPr>
          <w:rFonts w:ascii="DejaVu Serif" w:hAnsi="DejaVu Serif"/>
          <w:sz w:val="20"/>
        </w:rPr>
        <w:t>ó</w:t>
      </w:r>
      <w:r w:rsidRPr="00F972FD">
        <w:rPr>
          <w:rFonts w:ascii="DejaVu Serif" w:hAnsi="DejaVu Serif"/>
          <w:sz w:val="20"/>
        </w:rPr>
        <w:t xml:space="preserve"> que tiene una doctrina en la materia</w:t>
      </w:r>
      <w:r>
        <w:rPr>
          <w:rFonts w:ascii="DejaVu Serif" w:hAnsi="DejaVu Serif"/>
          <w:sz w:val="20"/>
        </w:rPr>
        <w:t xml:space="preserve"> e</w:t>
      </w:r>
      <w:r w:rsidRPr="00F972FD">
        <w:rPr>
          <w:rFonts w:ascii="DejaVu Serif" w:hAnsi="DejaVu Serif"/>
          <w:sz w:val="20"/>
        </w:rPr>
        <w:t xml:space="preserve"> incluso que existen precedentes sobre el alcance y la correcta interpretación del inciso segundo del </w:t>
      </w:r>
      <w:r w:rsidRPr="00F972FD">
        <w:rPr>
          <w:rFonts w:ascii="DejaVu Serif" w:eastAsia="EB Garamond" w:hAnsi="DejaVu Serif"/>
          <w:color w:val="auto"/>
          <w:sz w:val="20"/>
        </w:rPr>
        <w:t>art</w:t>
      </w:r>
      <w:r>
        <w:rPr>
          <w:rFonts w:ascii="DejaVu Serif" w:eastAsia="EB Garamond" w:hAnsi="DejaVu Serif"/>
          <w:color w:val="auto"/>
          <w:sz w:val="20"/>
        </w:rPr>
        <w:t>ículo</w:t>
      </w:r>
      <w:r w:rsidRPr="00F972FD">
        <w:rPr>
          <w:rFonts w:ascii="DejaVu Serif" w:hAnsi="DejaVu Serif"/>
          <w:sz w:val="20"/>
        </w:rPr>
        <w:t xml:space="preserve"> 8° de la CPR.  </w:t>
      </w:r>
      <w:r w:rsidR="00DB206D">
        <w:rPr>
          <w:rFonts w:ascii="DejaVu Serif" w:hAnsi="DejaVu Serif"/>
          <w:sz w:val="20"/>
        </w:rPr>
        <w:t>Al respecto, e</w:t>
      </w:r>
      <w:r w:rsidRPr="00F972FD">
        <w:rPr>
          <w:rFonts w:ascii="DejaVu Serif" w:hAnsi="DejaVu Serif"/>
          <w:sz w:val="20"/>
        </w:rPr>
        <w:t xml:space="preserve">n el considerando decimotercero, </w:t>
      </w:r>
      <w:r>
        <w:rPr>
          <w:rFonts w:ascii="DejaVu Serif" w:hAnsi="DejaVu Serif"/>
          <w:sz w:val="20"/>
        </w:rPr>
        <w:t>señaló lo siguiente</w:t>
      </w:r>
      <w:r w:rsidRPr="00F972FD">
        <w:rPr>
          <w:rFonts w:ascii="DejaVu Serif" w:hAnsi="DejaVu Serif"/>
          <w:sz w:val="20"/>
        </w:rPr>
        <w:t xml:space="preserve">: </w:t>
      </w:r>
    </w:p>
    <w:p w14:paraId="5D8EEC96" w14:textId="77777777" w:rsidR="00414E56" w:rsidRPr="00067BF3" w:rsidRDefault="00414E56" w:rsidP="00C21635">
      <w:pPr>
        <w:pStyle w:val="Normal1"/>
        <w:tabs>
          <w:tab w:val="left" w:pos="0"/>
        </w:tabs>
        <w:jc w:val="both"/>
        <w:rPr>
          <w:rFonts w:ascii="DejaVu Serif" w:hAnsi="DejaVu Serif"/>
          <w:sz w:val="20"/>
        </w:rPr>
      </w:pPr>
    </w:p>
    <w:p w14:paraId="4F17314D" w14:textId="77777777" w:rsidR="00414E56" w:rsidRDefault="00414E56" w:rsidP="00C21635">
      <w:pPr>
        <w:pStyle w:val="Normal1"/>
        <w:tabs>
          <w:tab w:val="left" w:pos="567"/>
        </w:tabs>
        <w:ind w:left="567"/>
        <w:jc w:val="both"/>
        <w:rPr>
          <w:rFonts w:ascii="DejaVu Serif" w:hAnsi="DejaVu Serif"/>
          <w:sz w:val="20"/>
        </w:rPr>
      </w:pPr>
      <w:r w:rsidRPr="00067BF3">
        <w:rPr>
          <w:rFonts w:ascii="DejaVu Serif" w:hAnsi="DejaVu Serif"/>
          <w:sz w:val="20"/>
        </w:rPr>
        <w:t xml:space="preserve">Que este Tribunal, por lo mismo, tiene una doctrina en la materia. Ello obliga a quien quiera dar argumentos para cambiarlos, hacerse cargo de los planteamientos del Tribunal. Por lo mismo, la carga argumentativa debe ser profunda, persuasiva e </w:t>
      </w:r>
      <w:proofErr w:type="spellStart"/>
      <w:r w:rsidRPr="00067BF3">
        <w:rPr>
          <w:rFonts w:ascii="DejaVu Serif" w:hAnsi="DejaVu Serif"/>
          <w:sz w:val="20"/>
        </w:rPr>
        <w:t>innovativa</w:t>
      </w:r>
      <w:proofErr w:type="spellEnd"/>
      <w:r w:rsidRPr="00067BF3">
        <w:rPr>
          <w:rFonts w:ascii="DejaVu Serif" w:hAnsi="DejaVu Serif"/>
          <w:sz w:val="20"/>
        </w:rPr>
        <w:t>, porque se trata de desafiar una argumentación</w:t>
      </w:r>
      <w:r w:rsidRPr="00F972FD">
        <w:rPr>
          <w:rFonts w:ascii="DejaVu Serif" w:hAnsi="DejaVu Serif"/>
          <w:i/>
          <w:sz w:val="20"/>
        </w:rPr>
        <w:t xml:space="preserve"> </w:t>
      </w:r>
      <w:r w:rsidRPr="00067BF3">
        <w:rPr>
          <w:rFonts w:ascii="DejaVu Serif" w:hAnsi="DejaVu Serif"/>
          <w:sz w:val="20"/>
        </w:rPr>
        <w:t>consolidada, y no meramente discrepar de ella o formular críticas respecto de su formulación.</w:t>
      </w:r>
    </w:p>
    <w:p w14:paraId="47CB25A6" w14:textId="77777777" w:rsidR="00414E56" w:rsidRDefault="00414E56" w:rsidP="00414E56">
      <w:pPr>
        <w:pStyle w:val="Normal1"/>
        <w:tabs>
          <w:tab w:val="left" w:pos="567"/>
        </w:tabs>
        <w:ind w:left="567"/>
        <w:jc w:val="both"/>
        <w:rPr>
          <w:rFonts w:ascii="DejaVu Serif" w:hAnsi="DejaVu Serif"/>
          <w:sz w:val="20"/>
        </w:rPr>
      </w:pPr>
    </w:p>
    <w:p w14:paraId="57702081" w14:textId="59DFBA95" w:rsidR="00414E56" w:rsidRPr="007D2538" w:rsidRDefault="00414E56" w:rsidP="00414E56">
      <w:pPr>
        <w:rPr>
          <w:rFonts w:ascii="DejaVu Serif" w:eastAsia="EB Garamond" w:hAnsi="DejaVu Serif"/>
          <w:b/>
          <w:sz w:val="20"/>
          <w:szCs w:val="20"/>
          <w:lang w:val="es-CL"/>
        </w:rPr>
      </w:pPr>
      <w:r w:rsidRPr="007D2538">
        <w:rPr>
          <w:rFonts w:ascii="DejaVu Serif" w:eastAsia="EB Garamond" w:hAnsi="DejaVu Serif"/>
          <w:b/>
          <w:sz w:val="20"/>
          <w:szCs w:val="20"/>
          <w:lang w:val="es-CL"/>
        </w:rPr>
        <w:t xml:space="preserve">6. </w:t>
      </w:r>
      <w:r w:rsidR="007D2538">
        <w:rPr>
          <w:rFonts w:ascii="DejaVu Serif" w:eastAsia="EB Garamond" w:hAnsi="DejaVu Serif"/>
          <w:b/>
          <w:sz w:val="20"/>
          <w:szCs w:val="20"/>
          <w:lang w:val="es-CL"/>
        </w:rPr>
        <w:tab/>
      </w:r>
      <w:r w:rsidRPr="007D2538">
        <w:rPr>
          <w:rFonts w:ascii="DejaVu Serif" w:eastAsia="EB Garamond" w:hAnsi="DejaVu Serif"/>
          <w:b/>
          <w:sz w:val="20"/>
          <w:szCs w:val="20"/>
          <w:lang w:val="es-CL"/>
        </w:rPr>
        <w:t>Sentencia de la causa rol 2.351-</w:t>
      </w:r>
      <w:r w:rsidR="00AD2DA8">
        <w:rPr>
          <w:rFonts w:ascii="DejaVu Serif" w:eastAsia="EB Garamond" w:hAnsi="DejaVu Serif"/>
          <w:b/>
          <w:sz w:val="20"/>
          <w:szCs w:val="20"/>
          <w:lang w:val="es-CL"/>
        </w:rPr>
        <w:t>20</w:t>
      </w:r>
      <w:r w:rsidRPr="007D2538">
        <w:rPr>
          <w:rFonts w:ascii="DejaVu Serif" w:eastAsia="EB Garamond" w:hAnsi="DejaVu Serif"/>
          <w:b/>
          <w:sz w:val="20"/>
          <w:szCs w:val="20"/>
          <w:lang w:val="es-CL"/>
        </w:rPr>
        <w:t>12</w:t>
      </w:r>
    </w:p>
    <w:p w14:paraId="662BF481" w14:textId="77777777" w:rsidR="00414E56" w:rsidRDefault="00414E56" w:rsidP="00C21635">
      <w:pPr>
        <w:pStyle w:val="Normal1"/>
        <w:tabs>
          <w:tab w:val="left" w:pos="0"/>
        </w:tabs>
        <w:jc w:val="both"/>
        <w:rPr>
          <w:rFonts w:ascii="DejaVu Serif" w:hAnsi="DejaVu Serif"/>
          <w:sz w:val="20"/>
        </w:rPr>
      </w:pPr>
      <w:r w:rsidRPr="00F972FD">
        <w:rPr>
          <w:rFonts w:ascii="DejaVu Serif" w:hAnsi="DejaVu Serif"/>
          <w:sz w:val="20"/>
        </w:rPr>
        <w:t>En esta sentencia, el Tribunal Constitucional declaró inadmisible la acción por inconstitucionalidad, en razón de que el Ministerio reconoció que el contenido de determinados correos electrónicos (que eran requeridos) había sido el fundamento de sus decisiones. En este punto, el TC es coherente con su doctrina. En efecto, señala que si estas comunicaciones eran elementos y antecedentes fundantes de las decisiones ministeriales, ellas debían ser comprendidas en los casos susceptibles de publicidad del inciso segundo del art. 8° de la Constitución.</w:t>
      </w:r>
    </w:p>
    <w:p w14:paraId="3F4FF58B" w14:textId="77777777" w:rsidR="00414E56" w:rsidRPr="00F972FD" w:rsidRDefault="00414E56" w:rsidP="00C21635">
      <w:pPr>
        <w:pStyle w:val="Normal1"/>
        <w:tabs>
          <w:tab w:val="left" w:pos="0"/>
        </w:tabs>
        <w:jc w:val="both"/>
        <w:rPr>
          <w:rFonts w:ascii="DejaVu Serif" w:hAnsi="DejaVu Serif"/>
          <w:sz w:val="20"/>
        </w:rPr>
      </w:pPr>
    </w:p>
    <w:p w14:paraId="0752A78E" w14:textId="486DD986" w:rsidR="00414E56" w:rsidRDefault="00AD2DA8" w:rsidP="00C21635">
      <w:pPr>
        <w:pStyle w:val="Normal1"/>
        <w:tabs>
          <w:tab w:val="left" w:pos="0"/>
        </w:tabs>
        <w:jc w:val="both"/>
        <w:rPr>
          <w:rFonts w:ascii="DejaVu Serif" w:hAnsi="DejaVu Serif"/>
          <w:sz w:val="20"/>
        </w:rPr>
      </w:pPr>
      <w:r>
        <w:rPr>
          <w:rFonts w:ascii="DejaVu Serif" w:hAnsi="DejaVu Serif"/>
          <w:sz w:val="20"/>
        </w:rPr>
        <w:t>Conociendo de la causa que dio origen a la sentencia de la causa rol 2.351-2012, la</w:t>
      </w:r>
      <w:r w:rsidR="00414E56" w:rsidRPr="00414E56">
        <w:rPr>
          <w:rFonts w:ascii="DejaVu Serif" w:hAnsi="DejaVu Serif"/>
          <w:sz w:val="20"/>
        </w:rPr>
        <w:t xml:space="preserve"> E. Corte Suprema</w:t>
      </w:r>
      <w:r>
        <w:rPr>
          <w:rFonts w:ascii="DejaVu Serif" w:hAnsi="DejaVu Serif"/>
          <w:sz w:val="20"/>
        </w:rPr>
        <w:t xml:space="preserve"> (rol 4.060-2013)</w:t>
      </w:r>
      <w:r w:rsidR="00414E56" w:rsidRPr="00414E56">
        <w:rPr>
          <w:rFonts w:ascii="DejaVu Serif" w:hAnsi="DejaVu Serif"/>
          <w:sz w:val="20"/>
        </w:rPr>
        <w:t xml:space="preserve"> señaló que el recurrente reconoció, en su resolución que los documentos serían la base para adoptar sus decisiones, por ende era fundamento de un acto de la autoridad. En consecuencia, se “trata de información que integra la formación del acto de la Administración, que por expresa disposición del constituyente es pública”</w:t>
      </w:r>
      <w:r w:rsidR="00414E56" w:rsidRPr="00067BF3">
        <w:rPr>
          <w:rFonts w:ascii="DejaVu Serif" w:hAnsi="DejaVu Serif"/>
          <w:sz w:val="20"/>
          <w:vertAlign w:val="superscript"/>
        </w:rPr>
        <w:footnoteReference w:id="23"/>
      </w:r>
      <w:r w:rsidR="00414E56" w:rsidRPr="00414E56">
        <w:rPr>
          <w:rFonts w:ascii="DejaVu Serif" w:hAnsi="DejaVu Serif"/>
          <w:sz w:val="20"/>
          <w:vertAlign w:val="superscript"/>
        </w:rPr>
        <w:t xml:space="preserve">. </w:t>
      </w:r>
      <w:r w:rsidR="00414E56" w:rsidRPr="00414E56">
        <w:rPr>
          <w:rFonts w:ascii="DejaVu Serif" w:hAnsi="DejaVu Serif"/>
          <w:sz w:val="20"/>
        </w:rPr>
        <w:t xml:space="preserve">Así, el máximo tribunal fijó </w:t>
      </w:r>
      <w:r>
        <w:rPr>
          <w:rFonts w:ascii="DejaVu Serif" w:hAnsi="DejaVu Serif"/>
          <w:sz w:val="20"/>
        </w:rPr>
        <w:t>un criterio</w:t>
      </w:r>
      <w:r w:rsidR="00414E56" w:rsidRPr="00414E56">
        <w:rPr>
          <w:rFonts w:ascii="DejaVu Serif" w:hAnsi="DejaVu Serif"/>
          <w:sz w:val="20"/>
        </w:rPr>
        <w:t xml:space="preserve"> similar que la del Tribunal Constitucional.</w:t>
      </w:r>
    </w:p>
    <w:p w14:paraId="3F799761" w14:textId="77777777" w:rsidR="00AD2DA8" w:rsidRPr="00414E56" w:rsidRDefault="00AD2DA8" w:rsidP="00C21635">
      <w:pPr>
        <w:pStyle w:val="Normal1"/>
        <w:tabs>
          <w:tab w:val="left" w:pos="0"/>
        </w:tabs>
        <w:jc w:val="both"/>
        <w:rPr>
          <w:rFonts w:ascii="DejaVu Serif" w:hAnsi="DejaVu Serif"/>
          <w:sz w:val="20"/>
        </w:rPr>
      </w:pPr>
    </w:p>
    <w:p w14:paraId="08F2B1FB" w14:textId="3097F4E0" w:rsidR="00414E56" w:rsidRPr="00414E56" w:rsidRDefault="00414E56" w:rsidP="00C21635">
      <w:pPr>
        <w:pStyle w:val="NormalWeb"/>
        <w:tabs>
          <w:tab w:val="left" w:pos="709"/>
        </w:tabs>
        <w:spacing w:after="0" w:line="240" w:lineRule="auto"/>
        <w:ind w:left="709" w:right="55" w:hanging="709"/>
        <w:rPr>
          <w:rFonts w:ascii="DejaVu Serif" w:hAnsi="DejaVu Serif"/>
          <w:b/>
          <w:sz w:val="20"/>
          <w:lang w:val="es-CL"/>
        </w:rPr>
      </w:pPr>
      <w:bookmarkStart w:id="1" w:name="h.vnu9w6qskvrx" w:colFirst="0" w:colLast="0"/>
      <w:bookmarkStart w:id="2" w:name="h.1t3h5sf" w:colFirst="0" w:colLast="0"/>
      <w:bookmarkEnd w:id="1"/>
      <w:bookmarkEnd w:id="2"/>
      <w:r w:rsidRPr="00414E56">
        <w:rPr>
          <w:rFonts w:ascii="DejaVu Serif" w:hAnsi="DejaVu Serif"/>
          <w:b/>
          <w:sz w:val="20"/>
          <w:lang w:val="es-CL"/>
        </w:rPr>
        <w:t xml:space="preserve">7. </w:t>
      </w:r>
      <w:r w:rsidR="007D2538">
        <w:rPr>
          <w:rFonts w:ascii="DejaVu Serif" w:hAnsi="DejaVu Serif"/>
          <w:b/>
          <w:sz w:val="20"/>
          <w:lang w:val="es-CL"/>
        </w:rPr>
        <w:tab/>
      </w:r>
      <w:r w:rsidRPr="00414E56">
        <w:rPr>
          <w:rFonts w:ascii="DejaVu Serif" w:hAnsi="DejaVu Serif"/>
          <w:b/>
          <w:sz w:val="20"/>
          <w:lang w:val="es-CL"/>
        </w:rPr>
        <w:t>Sentencia de la causa rol 2.907-2016</w:t>
      </w:r>
    </w:p>
    <w:p w14:paraId="61A29F4C" w14:textId="77777777" w:rsidR="00414E56" w:rsidRPr="00414E56" w:rsidRDefault="00414E56" w:rsidP="00C21635">
      <w:pPr>
        <w:pStyle w:val="NormalWeb"/>
        <w:spacing w:after="0" w:line="240" w:lineRule="auto"/>
        <w:ind w:right="397"/>
        <w:rPr>
          <w:rFonts w:ascii="DejaVu Serif" w:hAnsi="DejaVu Serif" w:cs="Courier New"/>
          <w:b/>
          <w:bCs/>
          <w:color w:val="000000"/>
          <w:sz w:val="20"/>
          <w:szCs w:val="20"/>
          <w:lang w:val="es-CL"/>
        </w:rPr>
      </w:pPr>
    </w:p>
    <w:p w14:paraId="36C60F3D" w14:textId="12F8F2B4" w:rsidR="00414E56" w:rsidRDefault="00414E56" w:rsidP="00C21635">
      <w:pPr>
        <w:spacing w:after="0"/>
        <w:jc w:val="both"/>
        <w:rPr>
          <w:rFonts w:ascii="DejaVu Serif" w:hAnsi="DejaVu Serif"/>
          <w:sz w:val="20"/>
          <w:lang w:val="es-CL"/>
        </w:rPr>
      </w:pPr>
      <w:r w:rsidRPr="00414E56">
        <w:rPr>
          <w:rFonts w:ascii="DejaVu Serif" w:hAnsi="DejaVu Serif"/>
          <w:sz w:val="20"/>
          <w:lang w:val="es-CL"/>
        </w:rPr>
        <w:t xml:space="preserve">Por último, la sentencia de la causa rol 2.907-2016 plantea, en gran medida, lo indicado en sentencia de la causa rol 3.111-2016, pero </w:t>
      </w:r>
      <w:r w:rsidR="00AD2DA8">
        <w:rPr>
          <w:rFonts w:ascii="DejaVu Serif" w:hAnsi="DejaVu Serif"/>
          <w:sz w:val="20"/>
          <w:lang w:val="es-CL"/>
        </w:rPr>
        <w:t xml:space="preserve">referido </w:t>
      </w:r>
      <w:r w:rsidRPr="00414E56">
        <w:rPr>
          <w:rFonts w:ascii="DejaVu Serif" w:hAnsi="DejaVu Serif"/>
          <w:sz w:val="20"/>
          <w:lang w:val="es-CL"/>
        </w:rPr>
        <w:t>al alcance del artículo 31 bis de la Ley N° 19.300 sobre bases generales del medio ambiente</w:t>
      </w:r>
      <w:r w:rsidR="00AD2DA8">
        <w:rPr>
          <w:rFonts w:ascii="DejaVu Serif" w:hAnsi="DejaVu Serif"/>
          <w:sz w:val="20"/>
          <w:lang w:val="es-CL"/>
        </w:rPr>
        <w:t>. Ésta</w:t>
      </w:r>
      <w:r w:rsidRPr="00414E56">
        <w:rPr>
          <w:rFonts w:ascii="DejaVu Serif" w:hAnsi="DejaVu Serif"/>
          <w:sz w:val="20"/>
          <w:lang w:val="es-CL"/>
        </w:rPr>
        <w:t xml:space="preserve"> </w:t>
      </w:r>
      <w:r w:rsidR="00AD2DA8">
        <w:rPr>
          <w:rFonts w:ascii="DejaVu Serif" w:hAnsi="DejaVu Serif"/>
          <w:sz w:val="20"/>
          <w:lang w:val="es-CL"/>
        </w:rPr>
        <w:t xml:space="preserve">disposición </w:t>
      </w:r>
      <w:r w:rsidRPr="00414E56">
        <w:rPr>
          <w:rFonts w:ascii="DejaVu Serif" w:hAnsi="DejaVu Serif"/>
          <w:sz w:val="20"/>
          <w:lang w:val="es-CL"/>
        </w:rPr>
        <w:t>también amplía el objeto del acceso a la información</w:t>
      </w:r>
      <w:r w:rsidR="00AD2DA8">
        <w:rPr>
          <w:rFonts w:ascii="DejaVu Serif" w:hAnsi="DejaVu Serif"/>
          <w:sz w:val="20"/>
          <w:lang w:val="es-CL"/>
        </w:rPr>
        <w:t>, en comparación al inciso segundo del artículo 8° de la CPR</w:t>
      </w:r>
      <w:r w:rsidRPr="00414E56">
        <w:rPr>
          <w:rFonts w:ascii="DejaVu Serif" w:hAnsi="DejaVu Serif"/>
          <w:sz w:val="20"/>
          <w:lang w:val="es-CL"/>
        </w:rPr>
        <w:t>.</w:t>
      </w:r>
    </w:p>
    <w:p w14:paraId="04FC8BF6" w14:textId="77777777" w:rsidR="00C21635" w:rsidRPr="00414E56" w:rsidRDefault="00C21635" w:rsidP="00C21635">
      <w:pPr>
        <w:spacing w:after="0"/>
        <w:jc w:val="both"/>
        <w:rPr>
          <w:rFonts w:ascii="DejaVu Serif" w:hAnsi="DejaVu Serif"/>
          <w:sz w:val="20"/>
          <w:lang w:val="es-CL"/>
        </w:rPr>
      </w:pPr>
    </w:p>
    <w:p w14:paraId="1FF70E53" w14:textId="3B4A3F48" w:rsidR="00414E56" w:rsidRDefault="00414E56" w:rsidP="00C21635">
      <w:pPr>
        <w:spacing w:after="0"/>
        <w:jc w:val="both"/>
        <w:rPr>
          <w:rFonts w:ascii="DejaVu Serif" w:hAnsi="DejaVu Serif"/>
          <w:sz w:val="20"/>
          <w:lang w:val="es-CL"/>
        </w:rPr>
      </w:pPr>
      <w:r w:rsidRPr="00414E56">
        <w:rPr>
          <w:rFonts w:ascii="DejaVu Serif" w:hAnsi="DejaVu Serif"/>
          <w:sz w:val="20"/>
          <w:lang w:val="es-CL"/>
        </w:rPr>
        <w:t xml:space="preserve">En efecto, </w:t>
      </w:r>
      <w:r w:rsidR="0022227E">
        <w:rPr>
          <w:rFonts w:ascii="DejaVu Serif" w:hAnsi="DejaVu Serif"/>
          <w:sz w:val="20"/>
          <w:lang w:val="es-CL"/>
        </w:rPr>
        <w:t>la norma  legal</w:t>
      </w:r>
      <w:r w:rsidRPr="00414E56">
        <w:rPr>
          <w:rFonts w:ascii="DejaVu Serif" w:hAnsi="DejaVu Serif"/>
          <w:sz w:val="20"/>
          <w:lang w:val="es-CL"/>
        </w:rPr>
        <w:t xml:space="preserve"> señala que las personas tienen derecho a acceder a la información de carácter ambiental “que se encuentre en poder de la Administración, de conformidad a lo señalado en la Constitución Política de la República y en la Ley N° 20.285 sobre Acceso a la Información Pública”.</w:t>
      </w:r>
    </w:p>
    <w:p w14:paraId="6A148EEA" w14:textId="77777777" w:rsidR="00C21635" w:rsidRPr="00414E56" w:rsidRDefault="00C21635" w:rsidP="00C21635">
      <w:pPr>
        <w:spacing w:after="0"/>
        <w:jc w:val="both"/>
        <w:rPr>
          <w:rFonts w:ascii="DejaVu Serif" w:hAnsi="DejaVu Serif"/>
          <w:sz w:val="20"/>
          <w:lang w:val="es-CL"/>
        </w:rPr>
      </w:pPr>
    </w:p>
    <w:p w14:paraId="1EB48811" w14:textId="7D54C86D" w:rsidR="00414E56" w:rsidRDefault="00414E56" w:rsidP="00C21635">
      <w:pPr>
        <w:spacing w:after="0"/>
        <w:jc w:val="both"/>
        <w:rPr>
          <w:rFonts w:ascii="DejaVu Serif" w:hAnsi="DejaVu Serif"/>
          <w:sz w:val="20"/>
          <w:szCs w:val="20"/>
          <w:lang w:val="es-CL"/>
        </w:rPr>
      </w:pPr>
      <w:r w:rsidRPr="007D2538">
        <w:rPr>
          <w:rFonts w:ascii="DejaVu Serif" w:hAnsi="DejaVu Serif"/>
          <w:sz w:val="20"/>
          <w:szCs w:val="20"/>
          <w:lang w:val="es-CL"/>
        </w:rPr>
        <w:t>En concreto, el artículo 31 bis</w:t>
      </w:r>
      <w:r w:rsidR="00613C29">
        <w:rPr>
          <w:rFonts w:ascii="DejaVu Serif" w:hAnsi="DejaVu Serif"/>
          <w:sz w:val="20"/>
          <w:szCs w:val="20"/>
          <w:lang w:val="es-CL"/>
        </w:rPr>
        <w:t xml:space="preserve"> de la Ley N° 19.300</w:t>
      </w:r>
      <w:r w:rsidRPr="007D2538">
        <w:rPr>
          <w:rFonts w:ascii="DejaVu Serif" w:hAnsi="DejaVu Serif"/>
          <w:sz w:val="20"/>
          <w:szCs w:val="20"/>
          <w:lang w:val="es-CL"/>
        </w:rPr>
        <w:t xml:space="preserve"> dispone lo siguiente:</w:t>
      </w:r>
    </w:p>
    <w:p w14:paraId="31BB9980" w14:textId="77777777" w:rsidR="00C21635" w:rsidRPr="007D2538" w:rsidRDefault="00C21635" w:rsidP="00C21635">
      <w:pPr>
        <w:spacing w:after="0"/>
        <w:jc w:val="both"/>
        <w:rPr>
          <w:rFonts w:ascii="DejaVu Serif" w:hAnsi="DejaVu Serif"/>
          <w:sz w:val="20"/>
          <w:szCs w:val="20"/>
          <w:lang w:val="es-CL"/>
        </w:rPr>
      </w:pPr>
    </w:p>
    <w:p w14:paraId="3A1CE14C" w14:textId="77777777" w:rsidR="007D2538" w:rsidRDefault="00414E56" w:rsidP="00C21635">
      <w:pPr>
        <w:spacing w:after="0"/>
        <w:ind w:left="567"/>
        <w:jc w:val="both"/>
        <w:rPr>
          <w:rFonts w:ascii="DejaVu Serif" w:hAnsi="DejaVu Serif"/>
          <w:sz w:val="20"/>
          <w:lang w:val="es-CL"/>
        </w:rPr>
      </w:pPr>
      <w:r w:rsidRPr="00414E56">
        <w:rPr>
          <w:rFonts w:ascii="DejaVu Serif" w:hAnsi="DejaVu Serif"/>
          <w:sz w:val="20"/>
          <w:lang w:val="es-CL"/>
        </w:rPr>
        <w:t>Artículo 31 bis.- Toda persona tiene derecho a acceder a la información de carácter ambiental que se encuentre en poder de la Administración, de conformidad a lo señalado en la Constitución Política de la República y en la ley Nº 20.285 sobre Acceso a la Información Pública.</w:t>
      </w:r>
    </w:p>
    <w:p w14:paraId="156A3E8F" w14:textId="00FC05C4" w:rsidR="00414E56" w:rsidRPr="00414E56" w:rsidRDefault="00414E56" w:rsidP="00C21635">
      <w:pPr>
        <w:spacing w:after="0"/>
        <w:ind w:left="567"/>
        <w:jc w:val="both"/>
        <w:rPr>
          <w:rFonts w:ascii="DejaVu Serif" w:hAnsi="DejaVu Serif"/>
          <w:sz w:val="20"/>
          <w:lang w:val="es-CL"/>
        </w:rPr>
      </w:pPr>
      <w:r w:rsidRPr="00414E56">
        <w:rPr>
          <w:rFonts w:ascii="DejaVu Serif" w:hAnsi="DejaVu Serif"/>
          <w:sz w:val="20"/>
          <w:lang w:val="es-CL"/>
        </w:rPr>
        <w:t>Se entenderá por información ambiental toda aquella de carácter escrita, visual, sonora, electrónica o registrada de cualquier otra forma que se encuentre en poder de la Administración y que verse sobre las siguientes cuestiones:</w:t>
      </w:r>
    </w:p>
    <w:p w14:paraId="27EEB6B6" w14:textId="77777777" w:rsidR="00414E56" w:rsidRPr="00414E56" w:rsidRDefault="00414E56" w:rsidP="00C21635">
      <w:pPr>
        <w:spacing w:after="0"/>
        <w:ind w:left="567"/>
        <w:jc w:val="both"/>
        <w:rPr>
          <w:rFonts w:ascii="DejaVu Serif" w:hAnsi="DejaVu Serif"/>
          <w:sz w:val="20"/>
          <w:lang w:val="es-CL"/>
        </w:rPr>
      </w:pPr>
      <w:r w:rsidRPr="00414E56">
        <w:rPr>
          <w:rFonts w:ascii="DejaVu Serif" w:hAnsi="DejaVu Serif"/>
          <w:sz w:val="20"/>
          <w:lang w:val="es-CL"/>
        </w:rPr>
        <w:t>a) El estado de los elementos del medio ambiente, como el aire y la atmósfera, el agua, el suelo, los paisajes, las áreas protegidas, la diversidad biológica y sus componentes, incluidos los organismos genéticamente modificados; y la interacción entre estos elementos.</w:t>
      </w:r>
    </w:p>
    <w:p w14:paraId="0BE437E4" w14:textId="77777777" w:rsidR="00414E56" w:rsidRPr="00414E56" w:rsidRDefault="00414E56" w:rsidP="00C21635">
      <w:pPr>
        <w:spacing w:after="0"/>
        <w:ind w:left="567"/>
        <w:jc w:val="both"/>
        <w:rPr>
          <w:rFonts w:ascii="DejaVu Serif" w:hAnsi="DejaVu Serif"/>
          <w:sz w:val="20"/>
          <w:lang w:val="es-CL"/>
        </w:rPr>
      </w:pPr>
      <w:r w:rsidRPr="00414E56">
        <w:rPr>
          <w:rFonts w:ascii="DejaVu Serif" w:hAnsi="DejaVu Serif"/>
          <w:sz w:val="20"/>
          <w:lang w:val="es-CL"/>
        </w:rPr>
        <w:t>b) Los factores, tales como sustancias, energía, ruido, radiaciones o residuos, incluidos los residuos radiactivos, emisiones, vertidos y otras liberaciones en el medio ambiente, que afecten o puedan afectar a los elementos del medio ambiente señalados en el número anterior.</w:t>
      </w:r>
    </w:p>
    <w:p w14:paraId="4D40DC27" w14:textId="77777777" w:rsidR="00414E56" w:rsidRPr="00414E56" w:rsidRDefault="00414E56" w:rsidP="00C21635">
      <w:pPr>
        <w:spacing w:after="0"/>
        <w:ind w:left="567"/>
        <w:jc w:val="both"/>
        <w:rPr>
          <w:rFonts w:ascii="DejaVu Serif" w:hAnsi="DejaVu Serif"/>
          <w:sz w:val="20"/>
          <w:lang w:val="es-CL"/>
        </w:rPr>
      </w:pPr>
      <w:r w:rsidRPr="00414E56">
        <w:rPr>
          <w:rFonts w:ascii="DejaVu Serif" w:hAnsi="DejaVu Serif"/>
          <w:sz w:val="20"/>
          <w:lang w:val="es-CL"/>
        </w:rPr>
        <w:t xml:space="preserve">c) Los actos administrativos relativos a materias ambientales, o que afecten o puedan afectar a los elementos y factores </w:t>
      </w:r>
      <w:r w:rsidRPr="00414E56">
        <w:rPr>
          <w:rFonts w:ascii="DejaVu Serif" w:hAnsi="DejaVu Serif"/>
          <w:sz w:val="20"/>
          <w:lang w:val="es-CL"/>
        </w:rPr>
        <w:lastRenderedPageBreak/>
        <w:t>citados en las letras a) y b), y las medidas, políticas, normas, planes, programas, que les sirvan de fundamento.</w:t>
      </w:r>
    </w:p>
    <w:p w14:paraId="4C4A9218" w14:textId="77777777" w:rsidR="00414E56" w:rsidRPr="00414E56" w:rsidRDefault="00414E56" w:rsidP="00C21635">
      <w:pPr>
        <w:spacing w:after="0"/>
        <w:ind w:left="567"/>
        <w:jc w:val="both"/>
        <w:rPr>
          <w:rFonts w:ascii="DejaVu Serif" w:hAnsi="DejaVu Serif"/>
          <w:sz w:val="20"/>
          <w:lang w:val="es-CL"/>
        </w:rPr>
      </w:pPr>
      <w:r w:rsidRPr="00414E56">
        <w:rPr>
          <w:rFonts w:ascii="DejaVu Serif" w:hAnsi="DejaVu Serif"/>
          <w:sz w:val="20"/>
          <w:lang w:val="es-CL"/>
        </w:rPr>
        <w:t>d) Los informes de cumplimiento de la legislación ambiental.</w:t>
      </w:r>
    </w:p>
    <w:p w14:paraId="63D378F6" w14:textId="77777777" w:rsidR="00414E56" w:rsidRPr="00414E56" w:rsidRDefault="00414E56" w:rsidP="00C21635">
      <w:pPr>
        <w:spacing w:after="0"/>
        <w:ind w:left="567"/>
        <w:jc w:val="both"/>
        <w:rPr>
          <w:rFonts w:ascii="DejaVu Serif" w:hAnsi="DejaVu Serif"/>
          <w:sz w:val="20"/>
          <w:lang w:val="es-CL"/>
        </w:rPr>
      </w:pPr>
      <w:r w:rsidRPr="00414E56">
        <w:rPr>
          <w:rFonts w:ascii="DejaVu Serif" w:hAnsi="DejaVu Serif"/>
          <w:sz w:val="20"/>
          <w:lang w:val="es-CL"/>
        </w:rPr>
        <w:t>e) Los análisis económicos, sociales, así como otros estudios utilizados en la toma de decisiones relativas a los actos administrativos y sus fundamentos, señalados en la letra c).</w:t>
      </w:r>
    </w:p>
    <w:p w14:paraId="42D451D4" w14:textId="77777777" w:rsidR="00414E56" w:rsidRPr="00414E56" w:rsidRDefault="00414E56" w:rsidP="00C21635">
      <w:pPr>
        <w:spacing w:after="0"/>
        <w:ind w:left="567"/>
        <w:jc w:val="both"/>
        <w:rPr>
          <w:rFonts w:ascii="DejaVu Serif" w:hAnsi="DejaVu Serif"/>
          <w:sz w:val="20"/>
          <w:lang w:val="es-CL"/>
        </w:rPr>
      </w:pPr>
      <w:r w:rsidRPr="00414E56">
        <w:rPr>
          <w:rFonts w:ascii="DejaVu Serif" w:hAnsi="DejaVu Serif"/>
          <w:sz w:val="20"/>
          <w:lang w:val="es-CL"/>
        </w:rPr>
        <w:t>f) El estado de salud y seguridad de las personas, condiciones de vida humana, bienes del patrimonio cultural, cuando sean o puedan verse afectados por el estado de los elementos del medio ambiente citados en la letra a) o por cualquiera de los factores y medidas señaladas en las letras b) y c).</w:t>
      </w:r>
    </w:p>
    <w:p w14:paraId="66541166" w14:textId="77777777" w:rsidR="00414E56" w:rsidRPr="00414E56" w:rsidRDefault="00414E56" w:rsidP="00C21635">
      <w:pPr>
        <w:spacing w:after="0"/>
        <w:ind w:left="567"/>
        <w:jc w:val="both"/>
        <w:rPr>
          <w:rFonts w:ascii="DejaVu Serif" w:hAnsi="DejaVu Serif"/>
          <w:sz w:val="20"/>
          <w:lang w:val="es-CL"/>
        </w:rPr>
      </w:pPr>
      <w:r w:rsidRPr="00414E56">
        <w:rPr>
          <w:rFonts w:ascii="DejaVu Serif" w:hAnsi="DejaVu Serif"/>
          <w:sz w:val="20"/>
          <w:lang w:val="es-CL"/>
        </w:rPr>
        <w:t>g) Toda aquella otra información que verse sobre medio ambiente o sobre los elementos, componentes o conceptos definidos en el artículo 2º de la ley.</w:t>
      </w:r>
    </w:p>
    <w:p w14:paraId="422C58A9" w14:textId="77777777" w:rsidR="00414E56" w:rsidRPr="00414E56" w:rsidRDefault="00414E56" w:rsidP="00414E56">
      <w:pPr>
        <w:pStyle w:val="NormalWeb"/>
        <w:spacing w:after="0"/>
        <w:ind w:right="397"/>
        <w:rPr>
          <w:rFonts w:ascii="DejaVu Serif" w:hAnsi="DejaVu Serif" w:cs="Courier New"/>
          <w:bCs/>
          <w:color w:val="000000"/>
          <w:sz w:val="20"/>
          <w:szCs w:val="20"/>
          <w:lang w:val="es-CL"/>
        </w:rPr>
      </w:pPr>
    </w:p>
    <w:p w14:paraId="7C49BBEE" w14:textId="77777777" w:rsidR="003B191C" w:rsidRDefault="00414E56" w:rsidP="00C21635">
      <w:pPr>
        <w:spacing w:after="0"/>
        <w:jc w:val="both"/>
        <w:rPr>
          <w:rFonts w:ascii="DejaVu Serif" w:hAnsi="DejaVu Serif"/>
          <w:sz w:val="20"/>
          <w:lang w:val="es-CL"/>
        </w:rPr>
      </w:pPr>
      <w:r w:rsidRPr="00414E56">
        <w:rPr>
          <w:rFonts w:ascii="DejaVu Serif" w:hAnsi="DejaVu Serif"/>
          <w:sz w:val="20"/>
          <w:lang w:val="es-CL"/>
        </w:rPr>
        <w:t>El TC estimó que este artículo no es totalmente consistente con lo dispuesto en el artículo 8° de la C</w:t>
      </w:r>
      <w:r w:rsidR="0022227E">
        <w:rPr>
          <w:rFonts w:ascii="DejaVu Serif" w:hAnsi="DejaVu Serif"/>
          <w:sz w:val="20"/>
          <w:lang w:val="es-CL"/>
        </w:rPr>
        <w:t>PR</w:t>
      </w:r>
      <w:r w:rsidRPr="00414E56">
        <w:rPr>
          <w:rFonts w:ascii="DejaVu Serif" w:hAnsi="DejaVu Serif"/>
          <w:sz w:val="20"/>
          <w:lang w:val="es-CL"/>
        </w:rPr>
        <w:t>. En efecto, parte de la información que establece el artículo 31 bis se vincula con actos administrativos (artículo 31 bis, letra c)), o con los fundamentos de éstos (letra e)). Sin embargo, el resto de las letras excede el marco del citado artículo 8°</w:t>
      </w:r>
      <w:r w:rsidRPr="00CE6D7A">
        <w:rPr>
          <w:rFonts w:ascii="DejaVu Serif" w:hAnsi="DejaVu Serif"/>
          <w:sz w:val="20"/>
          <w:vertAlign w:val="superscript"/>
        </w:rPr>
        <w:footnoteReference w:id="24"/>
      </w:r>
      <w:r w:rsidRPr="00414E56">
        <w:rPr>
          <w:rFonts w:ascii="DejaVu Serif" w:hAnsi="DejaVu Serif"/>
          <w:sz w:val="20"/>
          <w:lang w:val="es-CL"/>
        </w:rPr>
        <w:t xml:space="preserve">. </w:t>
      </w:r>
    </w:p>
    <w:p w14:paraId="6EC9F4D7" w14:textId="77777777" w:rsidR="00C21635" w:rsidRDefault="00C21635" w:rsidP="00C21635">
      <w:pPr>
        <w:spacing w:after="0"/>
        <w:jc w:val="both"/>
        <w:rPr>
          <w:rFonts w:ascii="DejaVu Serif" w:hAnsi="DejaVu Serif"/>
          <w:sz w:val="20"/>
          <w:lang w:val="es-CL"/>
        </w:rPr>
      </w:pPr>
    </w:p>
    <w:p w14:paraId="3A5226BC" w14:textId="1BA386FE" w:rsidR="00414E56" w:rsidRDefault="003B191C" w:rsidP="00C21635">
      <w:pPr>
        <w:spacing w:after="0"/>
        <w:jc w:val="both"/>
        <w:rPr>
          <w:rFonts w:ascii="DejaVu Serif" w:hAnsi="DejaVu Serif"/>
          <w:sz w:val="20"/>
          <w:lang w:val="es-CL"/>
        </w:rPr>
      </w:pPr>
      <w:r>
        <w:rPr>
          <w:rFonts w:ascii="DejaVu Serif" w:hAnsi="DejaVu Serif"/>
          <w:sz w:val="20"/>
          <w:lang w:val="es-CL"/>
        </w:rPr>
        <w:t>Así, r</w:t>
      </w:r>
      <w:r w:rsidR="00414E56" w:rsidRPr="00414E56">
        <w:rPr>
          <w:rFonts w:ascii="DejaVu Serif" w:hAnsi="DejaVu Serif"/>
          <w:sz w:val="20"/>
          <w:lang w:val="es-CL"/>
        </w:rPr>
        <w:t xml:space="preserve">eiterando argumentos ya expuesto, el TC señaló en primer lugar, que no todas letras del artículo 31 bis se vinculan a actos o fundamentos. Asimismo, </w:t>
      </w:r>
      <w:r>
        <w:rPr>
          <w:rFonts w:ascii="DejaVu Serif" w:hAnsi="DejaVu Serif"/>
          <w:sz w:val="20"/>
          <w:lang w:val="es-CL"/>
        </w:rPr>
        <w:t xml:space="preserve">el tribunal señaló que </w:t>
      </w:r>
      <w:r w:rsidR="00414E56" w:rsidRPr="00414E56">
        <w:rPr>
          <w:rFonts w:ascii="DejaVu Serif" w:hAnsi="DejaVu Serif"/>
          <w:sz w:val="20"/>
          <w:lang w:val="es-CL"/>
        </w:rPr>
        <w:t>las disposiciones exigen que la información esté en poder de la Administración, independientemente de si ésta la produjo, o si es información privada aportada por empresas y por último porque la información que se solicita es información de empresas específicas. Ello también excede la evolución de nuestra regulación y el propio artículo 8º, que se refiere a actos y resoluciones de órganos del Estado</w:t>
      </w:r>
      <w:r w:rsidR="00414E56" w:rsidRPr="00CE6D7A">
        <w:rPr>
          <w:rFonts w:ascii="DejaVu Serif" w:hAnsi="DejaVu Serif"/>
          <w:sz w:val="20"/>
          <w:vertAlign w:val="superscript"/>
        </w:rPr>
        <w:footnoteReference w:id="25"/>
      </w:r>
      <w:r w:rsidR="00414E56" w:rsidRPr="00414E56">
        <w:rPr>
          <w:rFonts w:ascii="DejaVu Serif" w:hAnsi="DejaVu Serif"/>
          <w:sz w:val="20"/>
          <w:lang w:val="es-CL"/>
        </w:rPr>
        <w:t>.</w:t>
      </w:r>
    </w:p>
    <w:p w14:paraId="54C2CD79" w14:textId="77777777" w:rsidR="00C21635" w:rsidRDefault="00C21635" w:rsidP="00C21635">
      <w:pPr>
        <w:spacing w:after="0"/>
        <w:jc w:val="both"/>
        <w:rPr>
          <w:rFonts w:ascii="DejaVu Serif" w:hAnsi="DejaVu Serif"/>
          <w:sz w:val="20"/>
          <w:lang w:val="es-CL"/>
        </w:rPr>
      </w:pPr>
    </w:p>
    <w:p w14:paraId="57155ACC" w14:textId="77777777" w:rsidR="00414E56" w:rsidRPr="007D2538" w:rsidRDefault="00414E56" w:rsidP="003B191C">
      <w:pPr>
        <w:ind w:left="709" w:hanging="709"/>
        <w:jc w:val="both"/>
        <w:rPr>
          <w:rFonts w:ascii="DejaVu Serif" w:hAnsi="DejaVu Serif"/>
          <w:b/>
          <w:sz w:val="24"/>
          <w:szCs w:val="24"/>
          <w:lang w:val="es-CL"/>
        </w:rPr>
      </w:pPr>
      <w:r w:rsidRPr="007D2538">
        <w:rPr>
          <w:rFonts w:ascii="DejaVu Serif" w:hAnsi="DejaVu Serif"/>
          <w:b/>
          <w:sz w:val="24"/>
          <w:szCs w:val="24"/>
          <w:lang w:val="es-CL"/>
        </w:rPr>
        <w:t>II.</w:t>
      </w:r>
      <w:r w:rsidRPr="007D2538">
        <w:rPr>
          <w:rFonts w:ascii="DejaVu Serif" w:hAnsi="DejaVu Serif"/>
          <w:b/>
          <w:sz w:val="24"/>
          <w:szCs w:val="24"/>
          <w:lang w:val="es-CL"/>
        </w:rPr>
        <w:tab/>
        <w:t>Sistema Interamericano de Derechos Humanos</w:t>
      </w:r>
    </w:p>
    <w:p w14:paraId="34738BEF" w14:textId="66EA5F71" w:rsidR="00414E56" w:rsidRDefault="00463C08" w:rsidP="00C21635">
      <w:pPr>
        <w:spacing w:after="0"/>
        <w:jc w:val="both"/>
        <w:rPr>
          <w:rFonts w:ascii="DejaVu Serif" w:hAnsi="DejaVu Serif"/>
          <w:sz w:val="20"/>
          <w:szCs w:val="20"/>
          <w:lang w:val="es-CL"/>
        </w:rPr>
      </w:pPr>
      <w:r>
        <w:rPr>
          <w:rFonts w:ascii="DejaVu Serif" w:hAnsi="DejaVu Serif"/>
          <w:sz w:val="20"/>
          <w:szCs w:val="20"/>
          <w:lang w:val="es-CL"/>
        </w:rPr>
        <w:t>R</w:t>
      </w:r>
      <w:r w:rsidRPr="00414E56">
        <w:rPr>
          <w:rFonts w:ascii="DejaVu Serif" w:hAnsi="DejaVu Serif"/>
          <w:sz w:val="20"/>
          <w:szCs w:val="20"/>
          <w:lang w:val="es-CL"/>
        </w:rPr>
        <w:t xml:space="preserve">eferido al alcance del derecho de acceso a la información pública, </w:t>
      </w:r>
      <w:r w:rsidR="00414E56" w:rsidRPr="00414E56">
        <w:rPr>
          <w:rFonts w:ascii="DejaVu Serif" w:hAnsi="DejaVu Serif"/>
          <w:sz w:val="20"/>
          <w:szCs w:val="20"/>
          <w:lang w:val="es-CL"/>
        </w:rPr>
        <w:t>el Sistema Interamericano de Derechos Humanos</w:t>
      </w:r>
      <w:r>
        <w:rPr>
          <w:rFonts w:ascii="DejaVu Serif" w:hAnsi="DejaVu Serif"/>
          <w:sz w:val="20"/>
          <w:szCs w:val="20"/>
          <w:lang w:val="es-CL"/>
        </w:rPr>
        <w:t xml:space="preserve"> ha </w:t>
      </w:r>
      <w:r w:rsidR="00613C29">
        <w:rPr>
          <w:rFonts w:ascii="DejaVu Serif" w:hAnsi="DejaVu Serif"/>
          <w:sz w:val="20"/>
          <w:szCs w:val="20"/>
          <w:lang w:val="es-CL"/>
        </w:rPr>
        <w:t>desarrollado</w:t>
      </w:r>
      <w:bookmarkStart w:id="3" w:name="_GoBack"/>
      <w:bookmarkEnd w:id="3"/>
      <w:r w:rsidR="00613C29">
        <w:rPr>
          <w:rFonts w:ascii="DejaVu Serif" w:hAnsi="DejaVu Serif"/>
          <w:sz w:val="20"/>
          <w:szCs w:val="20"/>
          <w:lang w:val="es-CL"/>
        </w:rPr>
        <w:t xml:space="preserve"> en fuentes </w:t>
      </w:r>
      <w:r w:rsidR="00613C29">
        <w:rPr>
          <w:rFonts w:ascii="DejaVu Serif" w:hAnsi="DejaVu Serif"/>
          <w:sz w:val="20"/>
          <w:szCs w:val="20"/>
          <w:lang w:val="es-CL"/>
        </w:rPr>
        <w:t>formales</w:t>
      </w:r>
      <w:r>
        <w:rPr>
          <w:rFonts w:ascii="DejaVu Serif" w:hAnsi="DejaVu Serif"/>
          <w:sz w:val="20"/>
          <w:szCs w:val="20"/>
          <w:lang w:val="es-CL"/>
        </w:rPr>
        <w:t xml:space="preserve"> su parecer en</w:t>
      </w:r>
      <w:r w:rsidR="00414E56" w:rsidRPr="00414E56">
        <w:rPr>
          <w:rFonts w:ascii="DejaVu Serif" w:hAnsi="DejaVu Serif"/>
          <w:sz w:val="20"/>
          <w:szCs w:val="20"/>
          <w:lang w:val="es-CL"/>
        </w:rPr>
        <w:t xml:space="preserve"> diversos Instrumentos de Derecho Internacional (de alcance universal o americano)</w:t>
      </w:r>
      <w:r>
        <w:rPr>
          <w:rFonts w:ascii="DejaVu Serif" w:hAnsi="DejaVu Serif"/>
          <w:sz w:val="20"/>
          <w:szCs w:val="20"/>
          <w:lang w:val="es-CL"/>
        </w:rPr>
        <w:t xml:space="preserve">, en </w:t>
      </w:r>
      <w:r w:rsidR="003B191C">
        <w:rPr>
          <w:rFonts w:ascii="DejaVu Serif" w:hAnsi="DejaVu Serif"/>
          <w:sz w:val="20"/>
          <w:szCs w:val="20"/>
          <w:lang w:val="es-CL"/>
        </w:rPr>
        <w:t xml:space="preserve">una </w:t>
      </w:r>
      <w:r w:rsidR="00414E56" w:rsidRPr="00414E56">
        <w:rPr>
          <w:rFonts w:ascii="DejaVu Serif" w:hAnsi="DejaVu Serif"/>
          <w:sz w:val="20"/>
          <w:szCs w:val="20"/>
          <w:lang w:val="es-CL"/>
        </w:rPr>
        <w:t>ley modelo</w:t>
      </w:r>
      <w:r>
        <w:rPr>
          <w:rFonts w:ascii="DejaVu Serif" w:hAnsi="DejaVu Serif"/>
          <w:sz w:val="20"/>
          <w:szCs w:val="20"/>
          <w:lang w:val="es-CL"/>
        </w:rPr>
        <w:t>,</w:t>
      </w:r>
      <w:r w:rsidR="00414E56" w:rsidRPr="00414E56">
        <w:rPr>
          <w:rFonts w:ascii="DejaVu Serif" w:hAnsi="DejaVu Serif"/>
          <w:sz w:val="20"/>
          <w:szCs w:val="20"/>
          <w:lang w:val="es-CL"/>
        </w:rPr>
        <w:t xml:space="preserve"> </w:t>
      </w:r>
      <w:r>
        <w:rPr>
          <w:rFonts w:ascii="DejaVu Serif" w:hAnsi="DejaVu Serif"/>
          <w:sz w:val="20"/>
          <w:szCs w:val="20"/>
          <w:lang w:val="es-CL"/>
        </w:rPr>
        <w:t xml:space="preserve">en </w:t>
      </w:r>
      <w:r w:rsidR="00414E56" w:rsidRPr="00414E56">
        <w:rPr>
          <w:rFonts w:ascii="DejaVu Serif" w:hAnsi="DejaVu Serif"/>
          <w:sz w:val="20"/>
          <w:lang w:val="es-CL"/>
        </w:rPr>
        <w:t xml:space="preserve">algunos </w:t>
      </w:r>
      <w:r w:rsidR="00414E56" w:rsidRPr="00414E56">
        <w:rPr>
          <w:rFonts w:ascii="DejaVu Serif" w:hAnsi="DejaVu Serif"/>
          <w:sz w:val="20"/>
          <w:szCs w:val="20"/>
          <w:lang w:val="es-CL"/>
        </w:rPr>
        <w:t xml:space="preserve">acuerdos de la Asamblea </w:t>
      </w:r>
      <w:r w:rsidR="00414E56" w:rsidRPr="00414E56">
        <w:rPr>
          <w:rFonts w:ascii="DejaVu Serif" w:hAnsi="DejaVu Serif"/>
          <w:sz w:val="20"/>
          <w:lang w:val="es-CL"/>
        </w:rPr>
        <w:t xml:space="preserve">General </w:t>
      </w:r>
      <w:r w:rsidR="00414E56" w:rsidRPr="00414E56">
        <w:rPr>
          <w:rFonts w:ascii="DejaVu Serif" w:hAnsi="DejaVu Serif"/>
          <w:sz w:val="20"/>
          <w:szCs w:val="20"/>
          <w:lang w:val="es-CL"/>
        </w:rPr>
        <w:t xml:space="preserve">de la Organización Americana de Estados </w:t>
      </w:r>
      <w:r w:rsidR="003A326E">
        <w:rPr>
          <w:rFonts w:ascii="DejaVu Serif" w:hAnsi="DejaVu Serif"/>
          <w:sz w:val="20"/>
          <w:szCs w:val="20"/>
          <w:lang w:val="es-CL"/>
        </w:rPr>
        <w:t xml:space="preserve">(OEA) </w:t>
      </w:r>
      <w:r w:rsidR="00414E56" w:rsidRPr="00414E56">
        <w:rPr>
          <w:rFonts w:ascii="DejaVu Serif" w:hAnsi="DejaVu Serif"/>
          <w:sz w:val="20"/>
          <w:szCs w:val="20"/>
          <w:lang w:val="es-CL"/>
        </w:rPr>
        <w:t xml:space="preserve">y también </w:t>
      </w:r>
      <w:r>
        <w:rPr>
          <w:rFonts w:ascii="DejaVu Serif" w:hAnsi="DejaVu Serif"/>
          <w:sz w:val="20"/>
          <w:szCs w:val="20"/>
          <w:lang w:val="es-CL"/>
        </w:rPr>
        <w:t xml:space="preserve">en </w:t>
      </w:r>
      <w:r w:rsidR="00414E56" w:rsidRPr="00414E56">
        <w:rPr>
          <w:rFonts w:ascii="DejaVu Serif" w:hAnsi="DejaVu Serif"/>
          <w:sz w:val="20"/>
          <w:szCs w:val="20"/>
          <w:lang w:val="es-CL"/>
        </w:rPr>
        <w:t>dos sentencias de la Corte Interamericana de Derechos Humanos</w:t>
      </w:r>
      <w:r>
        <w:rPr>
          <w:rFonts w:ascii="DejaVu Serif" w:hAnsi="DejaVu Serif"/>
          <w:sz w:val="20"/>
          <w:szCs w:val="20"/>
          <w:lang w:val="es-CL"/>
        </w:rPr>
        <w:t>, las</w:t>
      </w:r>
      <w:r w:rsidR="00414E56" w:rsidRPr="00414E56">
        <w:rPr>
          <w:rFonts w:ascii="DejaVu Serif" w:hAnsi="DejaVu Serif"/>
          <w:sz w:val="20"/>
          <w:szCs w:val="20"/>
          <w:lang w:val="es-CL"/>
        </w:rPr>
        <w:t xml:space="preserve"> que resuelven conflictos sobre la aplicación e interpretación acerca del derecho a buscar y a recibir información </w:t>
      </w:r>
      <w:r>
        <w:rPr>
          <w:rFonts w:ascii="DejaVu Serif" w:hAnsi="DejaVu Serif"/>
          <w:sz w:val="20"/>
          <w:szCs w:val="20"/>
          <w:lang w:val="es-CL"/>
        </w:rPr>
        <w:t xml:space="preserve">en el marco </w:t>
      </w:r>
      <w:r w:rsidR="00414E56" w:rsidRPr="00414E56">
        <w:rPr>
          <w:rFonts w:ascii="DejaVu Serif" w:hAnsi="DejaVu Serif"/>
          <w:sz w:val="20"/>
          <w:szCs w:val="20"/>
          <w:lang w:val="es-CL"/>
        </w:rPr>
        <w:t>de la Convención Americana sobre Derechos Humanos.</w:t>
      </w:r>
    </w:p>
    <w:p w14:paraId="23499E15" w14:textId="77777777" w:rsidR="00C21635" w:rsidRPr="00414E56" w:rsidRDefault="00C21635" w:rsidP="00C21635">
      <w:pPr>
        <w:spacing w:after="0"/>
        <w:jc w:val="both"/>
        <w:rPr>
          <w:rFonts w:ascii="DejaVu Serif" w:hAnsi="DejaVu Serif"/>
          <w:sz w:val="20"/>
          <w:szCs w:val="20"/>
          <w:lang w:val="es-CL"/>
        </w:rPr>
      </w:pPr>
    </w:p>
    <w:p w14:paraId="6530BE65" w14:textId="79A396F4" w:rsidR="00414E56" w:rsidRDefault="00414E56" w:rsidP="00C21635">
      <w:pPr>
        <w:spacing w:after="0"/>
        <w:jc w:val="both"/>
        <w:rPr>
          <w:rFonts w:ascii="DejaVu Serif" w:hAnsi="DejaVu Serif"/>
          <w:sz w:val="20"/>
          <w:lang w:val="es-CL"/>
        </w:rPr>
      </w:pPr>
      <w:r w:rsidRPr="00414E56">
        <w:rPr>
          <w:rFonts w:ascii="DejaVu Serif" w:hAnsi="DejaVu Serif"/>
          <w:sz w:val="20"/>
          <w:szCs w:val="20"/>
          <w:lang w:val="es-CL"/>
        </w:rPr>
        <w:t xml:space="preserve">De los textos se concluye que en el Sistema Interamericano de Derechos Humanos, el acceso se encuentra establecido a nivel de </w:t>
      </w:r>
      <w:r w:rsidRPr="00414E56">
        <w:rPr>
          <w:rFonts w:ascii="DejaVu Serif" w:hAnsi="DejaVu Serif"/>
          <w:sz w:val="20"/>
          <w:lang w:val="es-CL"/>
        </w:rPr>
        <w:t>C</w:t>
      </w:r>
      <w:r w:rsidRPr="00414E56">
        <w:rPr>
          <w:rFonts w:ascii="DejaVu Serif" w:hAnsi="DejaVu Serif"/>
          <w:sz w:val="20"/>
          <w:szCs w:val="20"/>
          <w:lang w:val="es-CL"/>
        </w:rPr>
        <w:t xml:space="preserve">onvenios como </w:t>
      </w:r>
      <w:r w:rsidR="002853F5">
        <w:rPr>
          <w:rFonts w:ascii="DejaVu Serif" w:hAnsi="DejaVu Serif"/>
          <w:sz w:val="20"/>
          <w:szCs w:val="20"/>
          <w:lang w:val="es-CL"/>
        </w:rPr>
        <w:t xml:space="preserve">los </w:t>
      </w:r>
      <w:r w:rsidRPr="00414E56">
        <w:rPr>
          <w:rFonts w:ascii="DejaVu Serif" w:hAnsi="DejaVu Serif"/>
          <w:sz w:val="20"/>
          <w:szCs w:val="20"/>
          <w:lang w:val="es-CL"/>
        </w:rPr>
        <w:t>derecho</w:t>
      </w:r>
      <w:r w:rsidR="002853F5">
        <w:rPr>
          <w:rFonts w:ascii="DejaVu Serif" w:hAnsi="DejaVu Serif"/>
          <w:sz w:val="20"/>
          <w:szCs w:val="20"/>
          <w:lang w:val="es-CL"/>
        </w:rPr>
        <w:t>s de</w:t>
      </w:r>
      <w:r w:rsidRPr="00414E56">
        <w:rPr>
          <w:rFonts w:ascii="DejaVu Serif" w:hAnsi="DejaVu Serif"/>
          <w:sz w:val="20"/>
          <w:szCs w:val="20"/>
          <w:lang w:val="es-CL"/>
        </w:rPr>
        <w:t xml:space="preserve"> buscar y recibir información y que éste ha derivado</w:t>
      </w:r>
      <w:r w:rsidRPr="00414E56">
        <w:rPr>
          <w:rFonts w:ascii="DejaVu Serif" w:hAnsi="DejaVu Serif"/>
          <w:sz w:val="20"/>
          <w:lang w:val="es-CL"/>
        </w:rPr>
        <w:t xml:space="preserve">, </w:t>
      </w:r>
      <w:r w:rsidR="002853F5">
        <w:rPr>
          <w:rFonts w:ascii="DejaVu Serif" w:hAnsi="DejaVu Serif"/>
          <w:sz w:val="20"/>
          <w:lang w:val="es-CL"/>
        </w:rPr>
        <w:t xml:space="preserve">conforme </w:t>
      </w:r>
      <w:r w:rsidRPr="00414E56">
        <w:rPr>
          <w:rFonts w:ascii="DejaVu Serif" w:hAnsi="DejaVu Serif"/>
          <w:sz w:val="20"/>
          <w:lang w:val="es-CL"/>
        </w:rPr>
        <w:t>una ley modelo,</w:t>
      </w:r>
      <w:r w:rsidRPr="00414E56">
        <w:rPr>
          <w:rFonts w:ascii="DejaVu Serif" w:hAnsi="DejaVu Serif"/>
          <w:sz w:val="20"/>
          <w:szCs w:val="20"/>
          <w:lang w:val="es-CL"/>
        </w:rPr>
        <w:t xml:space="preserve"> en un derecho de acceso a la información</w:t>
      </w:r>
      <w:r w:rsidRPr="00414E56">
        <w:rPr>
          <w:rFonts w:ascii="DejaVu Serif" w:hAnsi="DejaVu Serif"/>
          <w:sz w:val="20"/>
          <w:lang w:val="es-CL"/>
        </w:rPr>
        <w:t xml:space="preserve"> de carácter amplio</w:t>
      </w:r>
      <w:r w:rsidRPr="00414E56">
        <w:rPr>
          <w:rFonts w:ascii="DejaVu Serif" w:hAnsi="DejaVu Serif"/>
          <w:sz w:val="20"/>
          <w:szCs w:val="20"/>
          <w:lang w:val="es-CL"/>
        </w:rPr>
        <w:t xml:space="preserve">. </w:t>
      </w:r>
      <w:r w:rsidRPr="00414E56">
        <w:rPr>
          <w:rFonts w:ascii="DejaVu Serif" w:hAnsi="DejaVu Serif"/>
          <w:sz w:val="20"/>
          <w:lang w:val="es-CL"/>
        </w:rPr>
        <w:t>Por ende</w:t>
      </w:r>
      <w:r w:rsidRPr="00414E56">
        <w:rPr>
          <w:rFonts w:ascii="DejaVu Serif" w:hAnsi="DejaVu Serif"/>
          <w:sz w:val="20"/>
          <w:szCs w:val="20"/>
          <w:lang w:val="es-CL"/>
        </w:rPr>
        <w:t xml:space="preserve">, este derecho debe aplicarse </w:t>
      </w:r>
      <w:r w:rsidRPr="00414E56">
        <w:rPr>
          <w:rFonts w:ascii="DejaVu Serif" w:hAnsi="DejaVu Serif"/>
          <w:sz w:val="20"/>
          <w:lang w:val="es-CL"/>
        </w:rPr>
        <w:t>co</w:t>
      </w:r>
      <w:r w:rsidRPr="00414E56">
        <w:rPr>
          <w:rFonts w:ascii="DejaVu Serif" w:hAnsi="DejaVu Serif"/>
          <w:sz w:val="20"/>
          <w:szCs w:val="20"/>
          <w:lang w:val="es-CL"/>
        </w:rPr>
        <w:t>n una lógica de máxima divulgación de la información que los órganos públicos posean, custodien o controlen, en cualquier formato o medio.</w:t>
      </w:r>
      <w:r w:rsidRPr="00414E56">
        <w:rPr>
          <w:rFonts w:ascii="DejaVu Serif" w:hAnsi="DejaVu Serif"/>
          <w:sz w:val="20"/>
          <w:lang w:val="es-CL"/>
        </w:rPr>
        <w:t xml:space="preserve"> Asimismo, la ley modelo aclara que el universo de órganos también es amplio, por cuanto incluye a todos los poderes del Estado, a todos los niveles de la estructura gubernamental, a las entidades autónomas del Gobierno o controladas por éste e incluso a los privados que </w:t>
      </w:r>
      <w:r w:rsidRPr="00414E56">
        <w:rPr>
          <w:rFonts w:ascii="DejaVu Serif" w:hAnsi="DejaVu Serif"/>
          <w:sz w:val="20"/>
          <w:szCs w:val="20"/>
          <w:lang w:val="es-CL"/>
        </w:rPr>
        <w:t>reciben fondos o beneficios públicos sustanciales</w:t>
      </w:r>
      <w:r w:rsidRPr="00414E56">
        <w:rPr>
          <w:rFonts w:ascii="DejaVu Serif" w:hAnsi="DejaVu Serif"/>
          <w:sz w:val="20"/>
          <w:lang w:val="es-CL"/>
        </w:rPr>
        <w:t>.</w:t>
      </w:r>
    </w:p>
    <w:p w14:paraId="5A423FED" w14:textId="77777777" w:rsidR="00C21635" w:rsidRDefault="00C21635" w:rsidP="00C21635">
      <w:pPr>
        <w:spacing w:after="0"/>
        <w:jc w:val="both"/>
        <w:rPr>
          <w:rFonts w:ascii="DejaVu Serif" w:hAnsi="DejaVu Serif"/>
          <w:sz w:val="20"/>
          <w:lang w:val="es-CL"/>
        </w:rPr>
      </w:pPr>
    </w:p>
    <w:p w14:paraId="50A30605" w14:textId="7BCFA2FB" w:rsidR="00414E56" w:rsidRPr="007D2538" w:rsidRDefault="00414E56" w:rsidP="006C550E">
      <w:pPr>
        <w:pStyle w:val="Prrafodelista"/>
        <w:numPr>
          <w:ilvl w:val="0"/>
          <w:numId w:val="13"/>
        </w:numPr>
        <w:ind w:hanging="720"/>
        <w:jc w:val="both"/>
        <w:rPr>
          <w:rFonts w:ascii="DejaVu Serif" w:hAnsi="DejaVu Serif"/>
          <w:b/>
          <w:sz w:val="20"/>
          <w:szCs w:val="20"/>
          <w:lang w:val="es-CL"/>
        </w:rPr>
      </w:pPr>
      <w:r w:rsidRPr="007D2538">
        <w:rPr>
          <w:rFonts w:ascii="DejaVu Serif" w:hAnsi="DejaVu Serif"/>
          <w:b/>
          <w:sz w:val="20"/>
          <w:szCs w:val="20"/>
          <w:lang w:val="es-CL"/>
        </w:rPr>
        <w:t>Instrumentos de Derecho Internacional</w:t>
      </w:r>
    </w:p>
    <w:p w14:paraId="1C5F257F" w14:textId="60845DC6" w:rsidR="00414E56" w:rsidRDefault="00414E56" w:rsidP="00C21635">
      <w:pPr>
        <w:spacing w:after="0"/>
        <w:jc w:val="both"/>
        <w:rPr>
          <w:rFonts w:ascii="DejaVu Serif" w:hAnsi="DejaVu Serif"/>
          <w:sz w:val="20"/>
          <w:szCs w:val="20"/>
          <w:lang w:val="es-CL"/>
        </w:rPr>
      </w:pPr>
      <w:r w:rsidRPr="00414E56">
        <w:rPr>
          <w:rFonts w:ascii="DejaVu Serif" w:hAnsi="DejaVu Serif"/>
          <w:sz w:val="20"/>
          <w:szCs w:val="20"/>
          <w:lang w:val="es-CL"/>
        </w:rPr>
        <w:t>En primer lugar, la Declaración Universal de Derechos Humanos (adoptada y proclamada por la Asamblea General</w:t>
      </w:r>
      <w:r w:rsidR="003A326E">
        <w:rPr>
          <w:rFonts w:ascii="DejaVu Serif" w:hAnsi="DejaVu Serif"/>
          <w:sz w:val="20"/>
          <w:szCs w:val="20"/>
          <w:lang w:val="es-CL"/>
        </w:rPr>
        <w:t xml:space="preserve"> de la OEA</w:t>
      </w:r>
      <w:r w:rsidRPr="00414E56">
        <w:rPr>
          <w:rFonts w:ascii="DejaVu Serif" w:hAnsi="DejaVu Serif"/>
          <w:sz w:val="20"/>
          <w:szCs w:val="20"/>
          <w:lang w:val="es-CL"/>
        </w:rPr>
        <w:t xml:space="preserve"> en su resolución 217 A (III), de 10 de diciembre de 1948) señala en el artículo 19 que </w:t>
      </w:r>
    </w:p>
    <w:p w14:paraId="1A6219E7" w14:textId="77777777" w:rsidR="00C21635" w:rsidRPr="00414E56" w:rsidRDefault="00C21635" w:rsidP="00C21635">
      <w:pPr>
        <w:spacing w:after="0"/>
        <w:jc w:val="both"/>
        <w:rPr>
          <w:rFonts w:ascii="DejaVu Serif" w:hAnsi="DejaVu Serif"/>
          <w:sz w:val="20"/>
          <w:szCs w:val="20"/>
          <w:lang w:val="es-CL"/>
        </w:rPr>
      </w:pPr>
    </w:p>
    <w:p w14:paraId="4AEE1AA8" w14:textId="77777777" w:rsidR="00414E56" w:rsidRDefault="00414E56" w:rsidP="00C21635">
      <w:pPr>
        <w:spacing w:after="0"/>
        <w:ind w:left="567"/>
        <w:jc w:val="both"/>
        <w:rPr>
          <w:rFonts w:ascii="DejaVu Serif" w:hAnsi="DejaVu Serif"/>
          <w:sz w:val="20"/>
          <w:szCs w:val="20"/>
          <w:lang w:val="es-CL"/>
        </w:rPr>
      </w:pPr>
      <w:r w:rsidRPr="00414E56">
        <w:rPr>
          <w:rFonts w:ascii="DejaVu Serif" w:hAnsi="DejaVu Serif"/>
          <w:sz w:val="20"/>
          <w:szCs w:val="20"/>
          <w:lang w:val="es-CL"/>
        </w:rPr>
        <w:t xml:space="preserve">Todo individuo tiene derecho a la libertad de opinión y de expresión; este derecho incluye el no ser molestado a causa de sus </w:t>
      </w:r>
      <w:r w:rsidRPr="00BA6879">
        <w:rPr>
          <w:rFonts w:ascii="DejaVu Serif" w:hAnsi="DejaVu Serif"/>
          <w:sz w:val="20"/>
          <w:szCs w:val="20"/>
          <w:lang w:val="es-CL"/>
        </w:rPr>
        <w:t>opiniones, el de investigar y recibir</w:t>
      </w:r>
      <w:r w:rsidRPr="00414E56">
        <w:rPr>
          <w:rFonts w:ascii="DejaVu Serif" w:hAnsi="DejaVu Serif"/>
          <w:sz w:val="20"/>
          <w:szCs w:val="20"/>
          <w:lang w:val="es-CL"/>
        </w:rPr>
        <w:t xml:space="preserve"> informaciones y opiniones, y el de difundirlas, sin limitación de fronteras, por cualquier medio de expresión.</w:t>
      </w:r>
    </w:p>
    <w:p w14:paraId="40886DD0" w14:textId="77777777" w:rsidR="00C21635" w:rsidRPr="00414E56" w:rsidRDefault="00C21635" w:rsidP="00C21635">
      <w:pPr>
        <w:spacing w:after="0"/>
        <w:ind w:left="567"/>
        <w:jc w:val="both"/>
        <w:rPr>
          <w:rFonts w:ascii="DejaVu Serif" w:hAnsi="DejaVu Serif"/>
          <w:sz w:val="20"/>
          <w:szCs w:val="20"/>
          <w:lang w:val="es-CL"/>
        </w:rPr>
      </w:pPr>
    </w:p>
    <w:p w14:paraId="209F5957" w14:textId="4CE9958F" w:rsidR="00414E56" w:rsidRDefault="00414E56" w:rsidP="00C21635">
      <w:pPr>
        <w:spacing w:after="0"/>
        <w:jc w:val="both"/>
        <w:rPr>
          <w:rFonts w:ascii="DejaVu Serif" w:hAnsi="DejaVu Serif"/>
          <w:sz w:val="20"/>
          <w:szCs w:val="20"/>
          <w:lang w:val="es-CL"/>
        </w:rPr>
      </w:pPr>
      <w:r w:rsidRPr="00414E56">
        <w:rPr>
          <w:rFonts w:ascii="DejaVu Serif" w:hAnsi="DejaVu Serif"/>
          <w:sz w:val="20"/>
          <w:szCs w:val="20"/>
          <w:lang w:val="es-CL"/>
        </w:rPr>
        <w:t>Luego, también en el ámbito universal, el Pacto Internacional de Derechos Civiles y Políticos, señala en el artículo 19 número 2 lo siguiente:</w:t>
      </w:r>
    </w:p>
    <w:p w14:paraId="381B765A" w14:textId="77777777" w:rsidR="00C21635" w:rsidRPr="00414E56" w:rsidRDefault="00C21635" w:rsidP="00C21635">
      <w:pPr>
        <w:spacing w:after="0"/>
        <w:jc w:val="both"/>
        <w:rPr>
          <w:rFonts w:ascii="DejaVu Serif" w:hAnsi="DejaVu Serif"/>
          <w:sz w:val="20"/>
          <w:szCs w:val="20"/>
          <w:lang w:val="es-CL"/>
        </w:rPr>
      </w:pPr>
    </w:p>
    <w:p w14:paraId="733488A7" w14:textId="792AF694" w:rsidR="00414E56" w:rsidRPr="00C21635" w:rsidRDefault="00414E56" w:rsidP="006C550E">
      <w:pPr>
        <w:pStyle w:val="Prrafodelista"/>
        <w:numPr>
          <w:ilvl w:val="0"/>
          <w:numId w:val="13"/>
        </w:numPr>
        <w:spacing w:after="0"/>
        <w:jc w:val="both"/>
        <w:rPr>
          <w:rFonts w:ascii="DejaVu Serif" w:hAnsi="DejaVu Serif"/>
          <w:sz w:val="20"/>
          <w:szCs w:val="20"/>
          <w:lang w:val="es-CL"/>
        </w:rPr>
      </w:pPr>
      <w:r w:rsidRPr="00C21635">
        <w:rPr>
          <w:rFonts w:ascii="DejaVu Serif" w:hAnsi="DejaVu Serif"/>
          <w:sz w:val="20"/>
          <w:szCs w:val="20"/>
          <w:lang w:val="es-CL"/>
        </w:rPr>
        <w:t>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4FE401EE" w14:textId="77777777" w:rsidR="00C21635" w:rsidRPr="00C21635" w:rsidRDefault="00C21635" w:rsidP="00C21635">
      <w:pPr>
        <w:pStyle w:val="Prrafodelista"/>
        <w:spacing w:after="0"/>
        <w:jc w:val="both"/>
        <w:rPr>
          <w:rFonts w:ascii="DejaVu Serif" w:hAnsi="DejaVu Serif"/>
          <w:sz w:val="20"/>
          <w:szCs w:val="20"/>
          <w:lang w:val="es-CL"/>
        </w:rPr>
      </w:pPr>
    </w:p>
    <w:p w14:paraId="4E9FE055" w14:textId="0CD5CD54" w:rsidR="00414E56" w:rsidRDefault="00414E56" w:rsidP="00C21635">
      <w:pPr>
        <w:spacing w:after="0"/>
        <w:jc w:val="both"/>
        <w:rPr>
          <w:rFonts w:ascii="DejaVu Serif" w:hAnsi="DejaVu Serif"/>
          <w:sz w:val="20"/>
          <w:szCs w:val="20"/>
          <w:lang w:val="es-CL"/>
        </w:rPr>
      </w:pPr>
      <w:r w:rsidRPr="00414E56">
        <w:rPr>
          <w:rFonts w:ascii="DejaVu Serif" w:hAnsi="DejaVu Serif"/>
          <w:sz w:val="20"/>
          <w:szCs w:val="20"/>
          <w:lang w:val="es-CL"/>
        </w:rPr>
        <w:t>De la misma manera</w:t>
      </w:r>
      <w:r w:rsidR="00BA6879">
        <w:rPr>
          <w:rFonts w:ascii="DejaVu Serif" w:hAnsi="DejaVu Serif"/>
          <w:sz w:val="20"/>
          <w:szCs w:val="20"/>
          <w:lang w:val="es-CL"/>
        </w:rPr>
        <w:t>,</w:t>
      </w:r>
      <w:r w:rsidRPr="00414E56">
        <w:rPr>
          <w:rFonts w:ascii="DejaVu Serif" w:hAnsi="DejaVu Serif"/>
          <w:sz w:val="20"/>
          <w:szCs w:val="20"/>
          <w:lang w:val="es-CL"/>
        </w:rPr>
        <w:t xml:space="preserve"> pero en una materia determinada</w:t>
      </w:r>
      <w:r w:rsidR="00BA6879">
        <w:rPr>
          <w:rFonts w:ascii="DejaVu Serif" w:hAnsi="DejaVu Serif"/>
          <w:sz w:val="20"/>
          <w:szCs w:val="20"/>
          <w:lang w:val="es-CL"/>
        </w:rPr>
        <w:t>,</w:t>
      </w:r>
      <w:r w:rsidRPr="00414E56">
        <w:rPr>
          <w:rFonts w:ascii="DejaVu Serif" w:hAnsi="DejaVu Serif"/>
          <w:sz w:val="20"/>
          <w:szCs w:val="20"/>
          <w:lang w:val="es-CL"/>
        </w:rPr>
        <w:t xml:space="preserve"> la Convención de las Naciones Unidas contra la Corrupción dispone en el artículo 10 que habida cuenta de la necesidad de combatir la corrupción,</w:t>
      </w:r>
    </w:p>
    <w:p w14:paraId="216F5FC9" w14:textId="77777777" w:rsidR="00C21635" w:rsidRPr="00414E56" w:rsidRDefault="00C21635" w:rsidP="00C21635">
      <w:pPr>
        <w:spacing w:after="0"/>
        <w:jc w:val="both"/>
        <w:rPr>
          <w:rFonts w:ascii="DejaVu Serif" w:hAnsi="DejaVu Serif"/>
          <w:color w:val="auto"/>
          <w:sz w:val="20"/>
          <w:szCs w:val="20"/>
          <w:lang w:val="es-CL"/>
        </w:rPr>
      </w:pPr>
    </w:p>
    <w:p w14:paraId="666E015B" w14:textId="77777777" w:rsidR="00414E56" w:rsidRPr="00414E56" w:rsidRDefault="00414E56" w:rsidP="00C21635">
      <w:pPr>
        <w:spacing w:after="0"/>
        <w:ind w:left="567"/>
        <w:jc w:val="both"/>
        <w:rPr>
          <w:rFonts w:ascii="DejaVu Serif" w:hAnsi="DejaVu Serif"/>
          <w:sz w:val="20"/>
          <w:szCs w:val="20"/>
          <w:lang w:val="es-CL"/>
        </w:rPr>
      </w:pPr>
      <w:r w:rsidRPr="00414E56">
        <w:rPr>
          <w:rFonts w:ascii="DejaVu Serif" w:hAnsi="DejaVu Serif"/>
          <w:sz w:val="20"/>
          <w:szCs w:val="20"/>
          <w:lang w:val="es-CL"/>
        </w:rPr>
        <w:t>[</w:t>
      </w:r>
      <w:proofErr w:type="gramStart"/>
      <w:r w:rsidRPr="00414E56">
        <w:rPr>
          <w:rFonts w:ascii="DejaVu Serif" w:hAnsi="DejaVu Serif"/>
          <w:sz w:val="20"/>
          <w:szCs w:val="20"/>
          <w:lang w:val="es-CL"/>
        </w:rPr>
        <w:t>c]</w:t>
      </w:r>
      <w:proofErr w:type="spellStart"/>
      <w:proofErr w:type="gramEnd"/>
      <w:r w:rsidRPr="00414E56">
        <w:rPr>
          <w:rFonts w:ascii="DejaVu Serif" w:hAnsi="DejaVu Serif"/>
          <w:sz w:val="20"/>
          <w:szCs w:val="20"/>
          <w:lang w:val="es-CL"/>
        </w:rPr>
        <w:t>ada</w:t>
      </w:r>
      <w:proofErr w:type="spellEnd"/>
      <w:r w:rsidRPr="00414E56">
        <w:rPr>
          <w:rFonts w:ascii="DejaVu Serif" w:hAnsi="DejaVu Serif"/>
          <w:sz w:val="20"/>
          <w:szCs w:val="20"/>
          <w:lang w:val="es-CL"/>
        </w:rPr>
        <w:t xml:space="preserve"> Estado Parte, de conformidad con los principios fundamentales de su derecho interno, adoptará las medidas que sean necesarias para aumentar la transparencia en su administración pública, incluso en lo relativo a su organización, funcionamiento y procesos de adopción de decisiones, cuando proceda. Esas medidas podrán incluir, entre otras cosas: </w:t>
      </w:r>
    </w:p>
    <w:p w14:paraId="2536F027" w14:textId="77777777" w:rsidR="00414E56" w:rsidRPr="00414E56" w:rsidRDefault="00414E56" w:rsidP="00C21635">
      <w:pPr>
        <w:spacing w:after="0"/>
        <w:ind w:left="567"/>
        <w:jc w:val="both"/>
        <w:rPr>
          <w:rFonts w:ascii="DejaVu Serif" w:hAnsi="DejaVu Serif"/>
          <w:sz w:val="20"/>
          <w:szCs w:val="20"/>
          <w:lang w:val="es-CL"/>
        </w:rPr>
      </w:pPr>
      <w:r w:rsidRPr="00414E56">
        <w:rPr>
          <w:rFonts w:ascii="DejaVu Serif" w:hAnsi="DejaVu Serif"/>
          <w:sz w:val="20"/>
          <w:szCs w:val="20"/>
          <w:lang w:val="es-CL"/>
        </w:rPr>
        <w:t xml:space="preserve">a) La instauración de procedimientos o reglamentaciones que permitan al público en general obtener, cuando proceda, información sobre la organización, el funcionamiento y los procesos de adopción de decisiones de su administración pública y, con el debido respeto a la protección de la intimidad y de los datos personales, sobre las decisiones y actos jurídicos que incumban al público; </w:t>
      </w:r>
    </w:p>
    <w:p w14:paraId="47A7D7D1" w14:textId="77777777" w:rsidR="00414E56" w:rsidRPr="00414E56" w:rsidRDefault="00414E56" w:rsidP="00C21635">
      <w:pPr>
        <w:spacing w:after="0"/>
        <w:ind w:left="567"/>
        <w:jc w:val="both"/>
        <w:rPr>
          <w:rFonts w:ascii="DejaVu Serif" w:hAnsi="DejaVu Serif"/>
          <w:sz w:val="20"/>
          <w:szCs w:val="20"/>
          <w:lang w:val="es-CL"/>
        </w:rPr>
      </w:pPr>
      <w:r w:rsidRPr="00414E56">
        <w:rPr>
          <w:rFonts w:ascii="DejaVu Serif" w:hAnsi="DejaVu Serif"/>
          <w:sz w:val="20"/>
          <w:szCs w:val="20"/>
          <w:lang w:val="es-CL"/>
        </w:rPr>
        <w:t>b) La simplificación de los procedimientos administrativos, cuando proceda, a fin de facilitar el acceso del público a las autoridades encargadas de la adopción de decisiones; y</w:t>
      </w:r>
    </w:p>
    <w:p w14:paraId="0D0F49FD" w14:textId="77777777" w:rsidR="00414E56" w:rsidRDefault="00414E56" w:rsidP="00C21635">
      <w:pPr>
        <w:spacing w:after="0"/>
        <w:ind w:left="567"/>
        <w:jc w:val="both"/>
        <w:rPr>
          <w:rFonts w:ascii="DejaVu Serif" w:hAnsi="DejaVu Serif"/>
          <w:sz w:val="20"/>
          <w:szCs w:val="20"/>
          <w:lang w:val="es-CL"/>
        </w:rPr>
      </w:pPr>
      <w:r w:rsidRPr="00414E56">
        <w:rPr>
          <w:rFonts w:ascii="DejaVu Serif" w:hAnsi="DejaVu Serif"/>
          <w:sz w:val="20"/>
          <w:szCs w:val="20"/>
          <w:lang w:val="es-CL"/>
        </w:rPr>
        <w:t xml:space="preserve"> c) La publicación de información, lo que podrá incluir informes periódicos sobre los riesgos de corrupción en su administración pública.</w:t>
      </w:r>
    </w:p>
    <w:p w14:paraId="48BA53B2" w14:textId="77777777" w:rsidR="00C21635" w:rsidRPr="00414E56" w:rsidRDefault="00C21635" w:rsidP="00C21635">
      <w:pPr>
        <w:spacing w:after="0"/>
        <w:ind w:left="567"/>
        <w:jc w:val="both"/>
        <w:rPr>
          <w:rFonts w:ascii="DejaVu Serif" w:hAnsi="DejaVu Serif"/>
          <w:color w:val="000000"/>
          <w:sz w:val="20"/>
          <w:szCs w:val="20"/>
          <w:lang w:val="es-CL"/>
        </w:rPr>
      </w:pPr>
    </w:p>
    <w:p w14:paraId="04219A11" w14:textId="741C7B5D" w:rsidR="00414E56" w:rsidRPr="00414E56" w:rsidRDefault="00BA6879" w:rsidP="00C21635">
      <w:pPr>
        <w:pStyle w:val="NormalWeb"/>
        <w:spacing w:after="0" w:line="240" w:lineRule="auto"/>
        <w:ind w:left="74" w:right="74"/>
        <w:rPr>
          <w:rFonts w:ascii="DejaVu Serif" w:hAnsi="DejaVu Serif"/>
          <w:sz w:val="20"/>
          <w:szCs w:val="20"/>
          <w:lang w:val="es-CL"/>
        </w:rPr>
      </w:pPr>
      <w:r>
        <w:rPr>
          <w:rFonts w:ascii="DejaVu Serif" w:hAnsi="DejaVu Serif" w:cs="Tahoma"/>
          <w:bCs/>
          <w:sz w:val="20"/>
          <w:szCs w:val="20"/>
          <w:lang w:val="es-CL"/>
        </w:rPr>
        <w:t>Por otra parte</w:t>
      </w:r>
      <w:r w:rsidR="00414E56" w:rsidRPr="00414E56">
        <w:rPr>
          <w:rFonts w:ascii="DejaVu Serif" w:hAnsi="DejaVu Serif" w:cs="Tahoma"/>
          <w:bCs/>
          <w:sz w:val="20"/>
          <w:szCs w:val="20"/>
          <w:lang w:val="es-CL"/>
        </w:rPr>
        <w:t xml:space="preserve"> en el ámbito americano, la Carta Democrática Interamericana (</w:t>
      </w:r>
      <w:r w:rsidR="00414E56" w:rsidRPr="00414E56">
        <w:rPr>
          <w:rFonts w:ascii="DejaVu Serif" w:hAnsi="DejaVu Serif" w:cs="Tahoma"/>
          <w:color w:val="333333"/>
          <w:sz w:val="20"/>
          <w:szCs w:val="20"/>
          <w:shd w:val="clear" w:color="auto" w:fill="FFFFFF"/>
          <w:lang w:val="es-CL"/>
        </w:rPr>
        <w:t xml:space="preserve">adoptada por la Asamblea General extraordinaria de la OEA </w:t>
      </w:r>
      <w:r>
        <w:rPr>
          <w:rFonts w:ascii="DejaVu Serif" w:hAnsi="DejaVu Serif" w:cs="Tahoma"/>
          <w:color w:val="333333"/>
          <w:sz w:val="20"/>
          <w:szCs w:val="20"/>
          <w:shd w:val="clear" w:color="auto" w:fill="FFFFFF"/>
          <w:lang w:val="es-CL"/>
        </w:rPr>
        <w:t>de</w:t>
      </w:r>
      <w:r w:rsidR="00414E56" w:rsidRPr="00414E56">
        <w:rPr>
          <w:rStyle w:val="Textoennegrita"/>
          <w:rFonts w:ascii="DejaVu Serif" w:eastAsia="SimHei" w:hAnsi="DejaVu Serif" w:cs="Tahoma"/>
          <w:b w:val="0"/>
          <w:color w:val="333333"/>
          <w:sz w:val="20"/>
          <w:szCs w:val="20"/>
          <w:shd w:val="clear" w:color="auto" w:fill="FFFFFF"/>
          <w:lang w:val="es-CL"/>
        </w:rPr>
        <w:t xml:space="preserve"> 11 de septiembre de 2001</w:t>
      </w:r>
      <w:r w:rsidR="00414E56" w:rsidRPr="00414E56">
        <w:rPr>
          <w:rStyle w:val="Textoennegrita"/>
          <w:rFonts w:ascii="DejaVu Serif" w:hAnsi="DejaVu Serif" w:cs="Tahoma"/>
          <w:b w:val="0"/>
          <w:color w:val="333333"/>
          <w:sz w:val="20"/>
          <w:szCs w:val="20"/>
          <w:shd w:val="clear" w:color="auto" w:fill="FFFFFF"/>
          <w:lang w:val="es-CL"/>
        </w:rPr>
        <w:t xml:space="preserve">) </w:t>
      </w:r>
      <w:r w:rsidR="00414E56" w:rsidRPr="00414E56">
        <w:rPr>
          <w:rFonts w:ascii="DejaVu Serif" w:hAnsi="DejaVu Serif" w:cs="Tahoma"/>
          <w:bCs/>
          <w:sz w:val="20"/>
          <w:szCs w:val="20"/>
          <w:lang w:val="es-CL"/>
        </w:rPr>
        <w:t>dispone en el ar</w:t>
      </w:r>
      <w:r w:rsidR="00414E56" w:rsidRPr="00414E56">
        <w:rPr>
          <w:rFonts w:ascii="DejaVu Serif" w:hAnsi="DejaVu Serif"/>
          <w:sz w:val="20"/>
          <w:szCs w:val="20"/>
          <w:lang w:val="es-CL"/>
        </w:rPr>
        <w:t>tículo 4 que son componentes fundamentales del ejercicio de la democracia</w:t>
      </w:r>
      <w:r>
        <w:rPr>
          <w:rFonts w:ascii="DejaVu Serif" w:hAnsi="DejaVu Serif"/>
          <w:sz w:val="20"/>
          <w:szCs w:val="20"/>
          <w:lang w:val="es-CL"/>
        </w:rPr>
        <w:t>, entre otros,</w:t>
      </w:r>
      <w:r w:rsidR="00414E56" w:rsidRPr="00414E56">
        <w:rPr>
          <w:rFonts w:ascii="DejaVu Serif" w:hAnsi="DejaVu Serif"/>
          <w:sz w:val="20"/>
          <w:szCs w:val="20"/>
          <w:lang w:val="es-CL"/>
        </w:rPr>
        <w:t xml:space="preserve"> la transparencia de las actividades gubernamentales</w:t>
      </w:r>
      <w:r>
        <w:rPr>
          <w:rFonts w:ascii="DejaVu Serif" w:hAnsi="DejaVu Serif"/>
          <w:sz w:val="20"/>
          <w:szCs w:val="20"/>
          <w:lang w:val="es-CL"/>
        </w:rPr>
        <w:t xml:space="preserve"> y</w:t>
      </w:r>
      <w:r w:rsidR="00414E56" w:rsidRPr="00414E56">
        <w:rPr>
          <w:rFonts w:ascii="DejaVu Serif" w:hAnsi="DejaVu Serif"/>
          <w:sz w:val="20"/>
          <w:szCs w:val="20"/>
          <w:lang w:val="es-CL"/>
        </w:rPr>
        <w:t xml:space="preserve"> la probidad</w:t>
      </w:r>
      <w:r>
        <w:rPr>
          <w:rFonts w:ascii="DejaVu Serif" w:hAnsi="DejaVu Serif"/>
          <w:sz w:val="20"/>
          <w:szCs w:val="20"/>
          <w:lang w:val="es-CL"/>
        </w:rPr>
        <w:t>.</w:t>
      </w:r>
    </w:p>
    <w:p w14:paraId="18203626" w14:textId="77777777" w:rsidR="00414E56" w:rsidRPr="00414E56" w:rsidRDefault="00414E56" w:rsidP="00C21635">
      <w:pPr>
        <w:pStyle w:val="NormalWeb"/>
        <w:spacing w:after="0" w:line="240" w:lineRule="auto"/>
        <w:ind w:left="74" w:right="74"/>
        <w:rPr>
          <w:rFonts w:ascii="DejaVu Serif" w:hAnsi="DejaVu Serif" w:cs="Tahoma"/>
          <w:bCs/>
          <w:sz w:val="20"/>
          <w:szCs w:val="20"/>
          <w:lang w:val="es-CL"/>
        </w:rPr>
      </w:pPr>
    </w:p>
    <w:p w14:paraId="26CA1D95" w14:textId="78566075" w:rsidR="00414E56" w:rsidRPr="00414E56" w:rsidRDefault="00414E56" w:rsidP="00C21635">
      <w:pPr>
        <w:pStyle w:val="NormalWeb"/>
        <w:spacing w:after="0" w:line="240" w:lineRule="auto"/>
        <w:ind w:left="75" w:right="75"/>
        <w:rPr>
          <w:rFonts w:ascii="DejaVu Serif" w:hAnsi="DejaVu Serif" w:cs="Tahoma"/>
          <w:bCs/>
          <w:color w:val="000000"/>
          <w:sz w:val="20"/>
          <w:szCs w:val="20"/>
          <w:lang w:val="es-CL"/>
        </w:rPr>
      </w:pPr>
      <w:r w:rsidRPr="00414E56">
        <w:rPr>
          <w:rFonts w:ascii="DejaVu Serif" w:hAnsi="DejaVu Serif" w:cs="Tahoma"/>
          <w:bCs/>
          <w:color w:val="000000"/>
          <w:sz w:val="20"/>
          <w:szCs w:val="20"/>
          <w:lang w:val="es-CL"/>
        </w:rPr>
        <w:t xml:space="preserve">Finalmente en esta parte, la norma más citada por la jurisprudencia de la Corte Interamericana de Derechos Humanos, en la materia, es la Convención Interamericana de Derechos </w:t>
      </w:r>
      <w:r w:rsidRPr="00414E56">
        <w:rPr>
          <w:rFonts w:ascii="DejaVu Serif" w:hAnsi="DejaVu Serif" w:cs="Tahoma"/>
          <w:bCs/>
          <w:color w:val="000000"/>
          <w:sz w:val="20"/>
          <w:szCs w:val="20"/>
          <w:lang w:val="es-CL"/>
        </w:rPr>
        <w:t>Humanos</w:t>
      </w:r>
      <w:r w:rsidR="00BE534A">
        <w:rPr>
          <w:rFonts w:ascii="DejaVu Serif" w:hAnsi="DejaVu Serif" w:cs="Tahoma"/>
          <w:bCs/>
          <w:color w:val="000000"/>
          <w:sz w:val="20"/>
          <w:szCs w:val="20"/>
          <w:lang w:val="es-CL"/>
        </w:rPr>
        <w:t xml:space="preserve"> (</w:t>
      </w:r>
      <w:r w:rsidRPr="00414E56">
        <w:rPr>
          <w:rFonts w:ascii="DejaVu Serif" w:hAnsi="DejaVu Serif" w:cs="Tahoma"/>
          <w:bCs/>
          <w:color w:val="000000"/>
          <w:sz w:val="20"/>
          <w:szCs w:val="20"/>
          <w:lang w:val="es-CL"/>
        </w:rPr>
        <w:t>adoptada el 22 de noviembre de 1969</w:t>
      </w:r>
      <w:r w:rsidR="00BE534A">
        <w:rPr>
          <w:rFonts w:ascii="DejaVu Serif" w:hAnsi="DejaVu Serif" w:cs="Tahoma"/>
          <w:bCs/>
          <w:color w:val="000000"/>
          <w:sz w:val="20"/>
          <w:szCs w:val="20"/>
          <w:lang w:val="es-CL"/>
        </w:rPr>
        <w:t>)</w:t>
      </w:r>
      <w:r w:rsidRPr="00414E56">
        <w:rPr>
          <w:rFonts w:ascii="DejaVu Serif" w:hAnsi="DejaVu Serif" w:cs="Tahoma"/>
          <w:bCs/>
          <w:color w:val="000000"/>
          <w:sz w:val="20"/>
          <w:szCs w:val="20"/>
          <w:lang w:val="es-CL"/>
        </w:rPr>
        <w:t>, que establece en su artículo 13, a propósito de la libertad de pensamiento y de expresión, que:</w:t>
      </w:r>
    </w:p>
    <w:p w14:paraId="32DDA570" w14:textId="77777777" w:rsidR="00414E56" w:rsidRPr="00414E56" w:rsidRDefault="00414E56" w:rsidP="00C21635">
      <w:pPr>
        <w:pStyle w:val="NormalWeb"/>
        <w:spacing w:after="0" w:line="240" w:lineRule="auto"/>
        <w:ind w:left="75" w:right="75"/>
        <w:rPr>
          <w:rFonts w:ascii="DejaVu Serif" w:hAnsi="DejaVu Serif" w:cs="Tahoma"/>
          <w:color w:val="000000"/>
          <w:sz w:val="20"/>
          <w:szCs w:val="20"/>
          <w:lang w:val="es-CL"/>
        </w:rPr>
      </w:pPr>
    </w:p>
    <w:p w14:paraId="7C207806" w14:textId="77777777" w:rsidR="00414E56" w:rsidRPr="00414E56" w:rsidRDefault="00414E56" w:rsidP="006C550E">
      <w:pPr>
        <w:pStyle w:val="NormalWeb"/>
        <w:numPr>
          <w:ilvl w:val="0"/>
          <w:numId w:val="10"/>
        </w:numPr>
        <w:spacing w:after="0" w:line="240" w:lineRule="auto"/>
        <w:ind w:left="567" w:right="75" w:firstLine="0"/>
        <w:rPr>
          <w:rFonts w:ascii="DejaVu Serif" w:hAnsi="DejaVu Serif" w:cs="Tahoma"/>
          <w:color w:val="000000"/>
          <w:sz w:val="20"/>
          <w:szCs w:val="20"/>
          <w:lang w:val="es-CL"/>
        </w:rPr>
      </w:pPr>
      <w:r w:rsidRPr="00414E56">
        <w:rPr>
          <w:rFonts w:ascii="DejaVu Serif" w:hAnsi="DejaVu Serif" w:cs="Tahoma"/>
          <w:color w:val="000000"/>
          <w:sz w:val="20"/>
          <w:szCs w:val="20"/>
          <w:lang w:val="es-CL"/>
        </w:rPr>
        <w:t>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04A9832E" w14:textId="77777777" w:rsidR="00414E56" w:rsidRPr="00414E56" w:rsidRDefault="00414E56" w:rsidP="00BE534A">
      <w:pPr>
        <w:pStyle w:val="NormalWeb"/>
        <w:spacing w:after="0" w:line="240" w:lineRule="auto"/>
        <w:ind w:left="567" w:right="74"/>
        <w:rPr>
          <w:rFonts w:ascii="DejaVu Serif" w:hAnsi="DejaVu Serif" w:cs="Tahoma"/>
          <w:color w:val="000000"/>
          <w:sz w:val="20"/>
          <w:szCs w:val="20"/>
          <w:lang w:val="es-CL"/>
        </w:rPr>
      </w:pPr>
    </w:p>
    <w:p w14:paraId="761A3F12" w14:textId="77777777" w:rsidR="00414E56" w:rsidRPr="00414E56" w:rsidRDefault="00414E56" w:rsidP="006C550E">
      <w:pPr>
        <w:pStyle w:val="NormalWeb"/>
        <w:numPr>
          <w:ilvl w:val="0"/>
          <w:numId w:val="10"/>
        </w:numPr>
        <w:spacing w:after="0" w:line="240" w:lineRule="auto"/>
        <w:ind w:left="709" w:right="74" w:hanging="709"/>
        <w:rPr>
          <w:rFonts w:ascii="DejaVu Serif" w:hAnsi="DejaVu Serif" w:cs="Tahoma"/>
          <w:b/>
          <w:color w:val="000000"/>
          <w:sz w:val="20"/>
          <w:szCs w:val="20"/>
          <w:lang w:val="es-CL"/>
        </w:rPr>
      </w:pPr>
      <w:r w:rsidRPr="00414E56">
        <w:rPr>
          <w:rFonts w:ascii="DejaVu Serif" w:hAnsi="DejaVu Serif" w:cs="Tahoma"/>
          <w:b/>
          <w:color w:val="000000"/>
          <w:sz w:val="20"/>
          <w:szCs w:val="20"/>
          <w:lang w:val="es-CL"/>
        </w:rPr>
        <w:t>Ley Modelo Interamericana sobre Acceso a la Información Pública</w:t>
      </w:r>
    </w:p>
    <w:p w14:paraId="46DE3E2B" w14:textId="77777777" w:rsidR="007D2538" w:rsidRDefault="007D2538" w:rsidP="00414E56">
      <w:pPr>
        <w:spacing w:after="0"/>
        <w:jc w:val="both"/>
        <w:rPr>
          <w:rFonts w:ascii="DejaVu Serif" w:hAnsi="DejaVu Serif"/>
          <w:color w:val="auto"/>
          <w:sz w:val="20"/>
          <w:szCs w:val="20"/>
          <w:lang w:val="es-CL"/>
        </w:rPr>
      </w:pPr>
    </w:p>
    <w:p w14:paraId="5C59BA88" w14:textId="3E52DB80" w:rsidR="00414E56" w:rsidRPr="00414E56" w:rsidRDefault="00414E56" w:rsidP="00C21635">
      <w:pPr>
        <w:spacing w:after="0"/>
        <w:jc w:val="both"/>
        <w:rPr>
          <w:rFonts w:ascii="DejaVu Serif" w:hAnsi="DejaVu Serif"/>
          <w:sz w:val="20"/>
          <w:szCs w:val="20"/>
          <w:lang w:val="es-CL"/>
        </w:rPr>
      </w:pPr>
      <w:r w:rsidRPr="00414E56">
        <w:rPr>
          <w:rFonts w:ascii="DejaVu Serif" w:hAnsi="DejaVu Serif"/>
          <w:color w:val="auto"/>
          <w:sz w:val="20"/>
          <w:szCs w:val="20"/>
          <w:lang w:val="es-CL"/>
        </w:rPr>
        <w:t xml:space="preserve">La Ley Modelo Interamericana sobre Acceso a la Información Pública, fue aprobada por la Asamblea General </w:t>
      </w:r>
      <w:r w:rsidR="003A326E">
        <w:rPr>
          <w:rFonts w:ascii="DejaVu Serif" w:hAnsi="DejaVu Serif"/>
          <w:color w:val="auto"/>
          <w:sz w:val="20"/>
          <w:szCs w:val="20"/>
          <w:lang w:val="es-CL"/>
        </w:rPr>
        <w:t xml:space="preserve">de la OEA </w:t>
      </w:r>
      <w:r w:rsidRPr="00414E56">
        <w:rPr>
          <w:rFonts w:ascii="DejaVu Serif" w:hAnsi="DejaVu Serif"/>
          <w:color w:val="auto"/>
          <w:sz w:val="20"/>
          <w:szCs w:val="20"/>
          <w:lang w:val="es-CL"/>
        </w:rPr>
        <w:t xml:space="preserve">en </w:t>
      </w:r>
      <w:r w:rsidRPr="00414E56">
        <w:rPr>
          <w:rFonts w:ascii="DejaVu Serif" w:hAnsi="DejaVu Serif"/>
          <w:color w:val="auto"/>
          <w:sz w:val="20"/>
          <w:lang w:val="es-CL"/>
        </w:rPr>
        <w:t>junio</w:t>
      </w:r>
      <w:r w:rsidRPr="00414E56">
        <w:rPr>
          <w:rFonts w:ascii="DejaVu Serif" w:hAnsi="DejaVu Serif"/>
          <w:color w:val="auto"/>
          <w:sz w:val="20"/>
          <w:szCs w:val="20"/>
          <w:lang w:val="es-CL"/>
        </w:rPr>
        <w:t xml:space="preserve"> de 2010 mediante resolución AG/RES 2607 (XL-O/10)</w:t>
      </w:r>
      <w:r w:rsidRPr="00414E56">
        <w:rPr>
          <w:rFonts w:ascii="DejaVu Serif" w:hAnsi="DejaVu Serif"/>
          <w:color w:val="auto"/>
          <w:sz w:val="20"/>
          <w:lang w:val="es-CL"/>
        </w:rPr>
        <w:t>. Est</w:t>
      </w:r>
      <w:r w:rsidR="00314C15">
        <w:rPr>
          <w:rFonts w:ascii="DejaVu Serif" w:hAnsi="DejaVu Serif"/>
          <w:color w:val="auto"/>
          <w:sz w:val="20"/>
          <w:lang w:val="es-CL"/>
        </w:rPr>
        <w:t>a disposición</w:t>
      </w:r>
      <w:r w:rsidRPr="00414E56">
        <w:rPr>
          <w:rFonts w:ascii="DejaVu Serif" w:hAnsi="DejaVu Serif"/>
          <w:color w:val="auto"/>
          <w:sz w:val="20"/>
          <w:lang w:val="es-CL"/>
        </w:rPr>
        <w:t xml:space="preserve"> modelo tiene por </w:t>
      </w:r>
      <w:r w:rsidRPr="00414E56">
        <w:rPr>
          <w:rFonts w:ascii="DejaVu Serif" w:hAnsi="DejaVu Serif"/>
          <w:sz w:val="20"/>
          <w:szCs w:val="20"/>
          <w:lang w:val="es-CL"/>
        </w:rPr>
        <w:t xml:space="preserve">finalidad proporcionar a los Estados el marco legal necesario para garantizar el derecho de acceso a la información, así como una guía de implementación </w:t>
      </w:r>
      <w:r w:rsidR="00314C15">
        <w:rPr>
          <w:rFonts w:ascii="DejaVu Serif" w:hAnsi="DejaVu Serif"/>
          <w:sz w:val="20"/>
          <w:szCs w:val="20"/>
          <w:lang w:val="es-CL"/>
        </w:rPr>
        <w:t>de su implementación, proporcionando l</w:t>
      </w:r>
      <w:r w:rsidRPr="00414E56">
        <w:rPr>
          <w:rFonts w:ascii="DejaVu Serif" w:hAnsi="DejaVu Serif"/>
          <w:sz w:val="20"/>
          <w:szCs w:val="20"/>
          <w:lang w:val="es-CL"/>
        </w:rPr>
        <w:t>a hoja de ruta necesaria para garantizar su funcionamiento en la práctica</w:t>
      </w:r>
      <w:r w:rsidRPr="00414E56">
        <w:rPr>
          <w:rFonts w:ascii="DejaVu Serif" w:hAnsi="DejaVu Serif"/>
          <w:sz w:val="20"/>
          <w:lang w:val="es-CL"/>
        </w:rPr>
        <w:t xml:space="preserve"> (OEA, 2009)</w:t>
      </w:r>
      <w:r w:rsidRPr="00414E56">
        <w:rPr>
          <w:rFonts w:ascii="DejaVu Serif" w:hAnsi="DejaVu Serif"/>
          <w:sz w:val="20"/>
          <w:szCs w:val="20"/>
          <w:lang w:val="es-CL"/>
        </w:rPr>
        <w:t>.</w:t>
      </w:r>
    </w:p>
    <w:p w14:paraId="7955D243" w14:textId="77777777" w:rsidR="00414E56" w:rsidRPr="00414E56" w:rsidRDefault="00414E56" w:rsidP="00C21635">
      <w:pPr>
        <w:spacing w:after="0"/>
        <w:jc w:val="both"/>
        <w:rPr>
          <w:rFonts w:ascii="DejaVu Serif" w:hAnsi="DejaVu Serif"/>
          <w:color w:val="auto"/>
          <w:sz w:val="20"/>
          <w:szCs w:val="20"/>
          <w:lang w:val="es-CL"/>
        </w:rPr>
      </w:pPr>
    </w:p>
    <w:p w14:paraId="6C7052E4" w14:textId="77777777" w:rsidR="00414E56" w:rsidRPr="00414E56" w:rsidRDefault="00414E56" w:rsidP="00C21635">
      <w:pPr>
        <w:pStyle w:val="NormalWeb"/>
        <w:spacing w:after="0"/>
        <w:ind w:right="74"/>
        <w:rPr>
          <w:rFonts w:ascii="DejaVu Serif" w:hAnsi="DejaVu Serif"/>
          <w:sz w:val="20"/>
          <w:szCs w:val="20"/>
          <w:lang w:val="es-CL"/>
        </w:rPr>
      </w:pPr>
      <w:r w:rsidRPr="00414E56">
        <w:rPr>
          <w:rFonts w:ascii="DejaVu Serif" w:hAnsi="DejaVu Serif"/>
          <w:sz w:val="20"/>
          <w:szCs w:val="20"/>
          <w:lang w:val="es-CL"/>
        </w:rPr>
        <w:t>La ley señala, entre otros fundamentos, que el derecho de acceso a la información “se aplica en sentido amplio a toda la información en posesión de órganos públicos, incluyendo toda la información controlada y archivada en cualquier formato o medio” y que asimismo, este derecho está basado en el principio de máxima divulgación de la información.</w:t>
      </w:r>
    </w:p>
    <w:p w14:paraId="2C28ED17" w14:textId="77777777" w:rsidR="00414E56" w:rsidRPr="00414E56" w:rsidRDefault="00414E56" w:rsidP="00C21635">
      <w:pPr>
        <w:pStyle w:val="NormalWeb"/>
        <w:spacing w:after="0" w:line="240" w:lineRule="auto"/>
        <w:ind w:right="74"/>
        <w:rPr>
          <w:rFonts w:ascii="DejaVu Serif" w:hAnsi="DejaVu Serif"/>
          <w:sz w:val="20"/>
          <w:szCs w:val="20"/>
          <w:lang w:val="es-CL"/>
        </w:rPr>
      </w:pPr>
    </w:p>
    <w:p w14:paraId="391C535D" w14:textId="475F805B" w:rsidR="00414E56" w:rsidRPr="00414E56" w:rsidRDefault="00242A81" w:rsidP="00C21635">
      <w:pPr>
        <w:pStyle w:val="NormalWeb"/>
        <w:spacing w:after="0"/>
        <w:ind w:right="74"/>
        <w:rPr>
          <w:rFonts w:ascii="DejaVu Serif" w:hAnsi="DejaVu Serif"/>
          <w:sz w:val="20"/>
          <w:szCs w:val="20"/>
          <w:lang w:val="es-CL"/>
        </w:rPr>
      </w:pPr>
      <w:r>
        <w:rPr>
          <w:rFonts w:ascii="DejaVu Serif" w:hAnsi="DejaVu Serif" w:cs="Tahoma"/>
          <w:color w:val="000000"/>
          <w:sz w:val="20"/>
          <w:szCs w:val="20"/>
          <w:lang w:val="es-CL"/>
        </w:rPr>
        <w:t>L</w:t>
      </w:r>
      <w:r w:rsidR="00414E56" w:rsidRPr="00414E56">
        <w:rPr>
          <w:rFonts w:ascii="DejaVu Serif" w:hAnsi="DejaVu Serif" w:cs="Tahoma"/>
          <w:color w:val="000000"/>
          <w:sz w:val="20"/>
          <w:szCs w:val="20"/>
          <w:lang w:val="es-CL"/>
        </w:rPr>
        <w:t xml:space="preserve">a </w:t>
      </w:r>
      <w:r>
        <w:rPr>
          <w:rFonts w:ascii="DejaVu Serif" w:hAnsi="DejaVu Serif" w:cs="Tahoma"/>
          <w:color w:val="000000"/>
          <w:sz w:val="20"/>
          <w:szCs w:val="20"/>
          <w:lang w:val="es-CL"/>
        </w:rPr>
        <w:t>ley</w:t>
      </w:r>
      <w:r w:rsidR="00414E56" w:rsidRPr="00414E56">
        <w:rPr>
          <w:rFonts w:ascii="DejaVu Serif" w:hAnsi="DejaVu Serif" w:cs="Tahoma"/>
          <w:color w:val="000000"/>
          <w:sz w:val="20"/>
          <w:szCs w:val="20"/>
          <w:lang w:val="es-CL"/>
        </w:rPr>
        <w:t xml:space="preserve"> modelo dispone</w:t>
      </w:r>
      <w:r>
        <w:rPr>
          <w:rFonts w:ascii="DejaVu Serif" w:hAnsi="DejaVu Serif" w:cs="Tahoma"/>
          <w:color w:val="000000"/>
          <w:sz w:val="20"/>
          <w:szCs w:val="20"/>
          <w:lang w:val="es-CL"/>
        </w:rPr>
        <w:t>,</w:t>
      </w:r>
      <w:r w:rsidR="00414E56" w:rsidRPr="00414E56">
        <w:rPr>
          <w:rFonts w:ascii="DejaVu Serif" w:hAnsi="DejaVu Serif" w:cs="Tahoma"/>
          <w:color w:val="000000"/>
          <w:sz w:val="20"/>
          <w:szCs w:val="20"/>
          <w:lang w:val="es-CL"/>
        </w:rPr>
        <w:t xml:space="preserve"> en cuanto a su alcance y finalidad, </w:t>
      </w:r>
      <w:r w:rsidR="00414E56" w:rsidRPr="00414E56">
        <w:rPr>
          <w:rFonts w:ascii="DejaVu Serif" w:hAnsi="DejaVu Serif"/>
          <w:sz w:val="20"/>
          <w:szCs w:val="20"/>
          <w:lang w:val="es-CL"/>
        </w:rPr>
        <w:t>la más amplia aplicación posible del derecho de acceso</w:t>
      </w:r>
      <w:r>
        <w:rPr>
          <w:rFonts w:ascii="DejaVu Serif" w:hAnsi="DejaVu Serif"/>
          <w:sz w:val="20"/>
          <w:szCs w:val="20"/>
          <w:lang w:val="es-CL"/>
        </w:rPr>
        <w:t>, respecto de la información</w:t>
      </w:r>
      <w:r w:rsidR="00414E56" w:rsidRPr="00414E56">
        <w:rPr>
          <w:rFonts w:ascii="DejaVu Serif" w:hAnsi="DejaVu Serif"/>
          <w:sz w:val="20"/>
          <w:szCs w:val="20"/>
          <w:lang w:val="es-CL"/>
        </w:rPr>
        <w:t xml:space="preserve"> que esté en posesión, custodia o control de cualquier autoridad pública. </w:t>
      </w:r>
      <w:r>
        <w:rPr>
          <w:rFonts w:ascii="DejaVu Serif" w:hAnsi="DejaVu Serif"/>
          <w:sz w:val="20"/>
          <w:szCs w:val="20"/>
          <w:lang w:val="es-CL"/>
        </w:rPr>
        <w:t>La</w:t>
      </w:r>
      <w:r w:rsidR="00414E56" w:rsidRPr="00414E56">
        <w:rPr>
          <w:rFonts w:ascii="DejaVu Serif" w:hAnsi="DejaVu Serif"/>
          <w:sz w:val="20"/>
          <w:szCs w:val="20"/>
          <w:lang w:val="es-CL"/>
        </w:rPr>
        <w:t xml:space="preserve"> ley se basa en el “principio de máxima publicidad</w:t>
      </w:r>
      <w:r>
        <w:rPr>
          <w:rFonts w:ascii="DejaVu Serif" w:hAnsi="DejaVu Serif"/>
          <w:sz w:val="20"/>
          <w:szCs w:val="20"/>
          <w:lang w:val="es-CL"/>
        </w:rPr>
        <w:t>”</w:t>
      </w:r>
      <w:r w:rsidR="00414E56" w:rsidRPr="00414E56">
        <w:rPr>
          <w:rFonts w:ascii="DejaVu Serif" w:hAnsi="DejaVu Serif"/>
          <w:sz w:val="20"/>
          <w:szCs w:val="20"/>
          <w:lang w:val="es-CL"/>
        </w:rPr>
        <w:t>,</w:t>
      </w:r>
      <w:r>
        <w:rPr>
          <w:rFonts w:ascii="DejaVu Serif" w:hAnsi="DejaVu Serif"/>
          <w:sz w:val="20"/>
          <w:szCs w:val="20"/>
          <w:lang w:val="es-CL"/>
        </w:rPr>
        <w:t xml:space="preserve"> que se traduce en</w:t>
      </w:r>
      <w:r w:rsidR="00414E56" w:rsidRPr="00414E56">
        <w:rPr>
          <w:rFonts w:ascii="DejaVu Serif" w:hAnsi="DejaVu Serif"/>
          <w:sz w:val="20"/>
          <w:szCs w:val="20"/>
          <w:lang w:val="es-CL"/>
        </w:rPr>
        <w:t xml:space="preserve"> </w:t>
      </w:r>
      <w:r>
        <w:rPr>
          <w:rFonts w:ascii="DejaVu Serif" w:hAnsi="DejaVu Serif"/>
          <w:sz w:val="20"/>
          <w:szCs w:val="20"/>
          <w:lang w:val="es-CL"/>
        </w:rPr>
        <w:t>la entrega de toda</w:t>
      </w:r>
      <w:r w:rsidR="00414E56" w:rsidRPr="00414E56">
        <w:rPr>
          <w:rFonts w:ascii="DejaVu Serif" w:hAnsi="DejaVu Serif"/>
          <w:sz w:val="20"/>
          <w:szCs w:val="20"/>
          <w:lang w:val="es-CL"/>
        </w:rPr>
        <w:t xml:space="preserve"> información</w:t>
      </w:r>
      <w:r>
        <w:rPr>
          <w:rFonts w:ascii="DejaVu Serif" w:hAnsi="DejaVu Serif"/>
          <w:sz w:val="20"/>
          <w:szCs w:val="20"/>
          <w:lang w:val="es-CL"/>
        </w:rPr>
        <w:t xml:space="preserve"> que se encuentre </w:t>
      </w:r>
      <w:r w:rsidRPr="00414E56">
        <w:rPr>
          <w:rFonts w:ascii="DejaVu Serif" w:hAnsi="DejaVu Serif"/>
          <w:sz w:val="20"/>
          <w:szCs w:val="20"/>
          <w:lang w:val="es-CL"/>
        </w:rPr>
        <w:t>en manos de instituciones públicas</w:t>
      </w:r>
      <w:r>
        <w:rPr>
          <w:rFonts w:ascii="DejaVu Serif" w:hAnsi="DejaVu Serif"/>
          <w:sz w:val="20"/>
          <w:szCs w:val="20"/>
          <w:lang w:val="es-CL"/>
        </w:rPr>
        <w:t xml:space="preserve">, </w:t>
      </w:r>
      <w:r w:rsidRPr="00414E56">
        <w:rPr>
          <w:rFonts w:ascii="DejaVu Serif" w:hAnsi="DejaVu Serif"/>
          <w:sz w:val="20"/>
          <w:szCs w:val="20"/>
          <w:lang w:val="es-CL"/>
        </w:rPr>
        <w:t xml:space="preserve"> </w:t>
      </w:r>
      <w:r>
        <w:rPr>
          <w:rFonts w:ascii="DejaVu Serif" w:hAnsi="DejaVu Serif"/>
          <w:sz w:val="20"/>
          <w:szCs w:val="20"/>
          <w:lang w:val="es-CL"/>
        </w:rPr>
        <w:t>de manera</w:t>
      </w:r>
      <w:r w:rsidR="00414E56" w:rsidRPr="00414E56">
        <w:rPr>
          <w:rFonts w:ascii="DejaVu Serif" w:hAnsi="DejaVu Serif"/>
          <w:sz w:val="20"/>
          <w:szCs w:val="20"/>
          <w:lang w:val="es-CL"/>
        </w:rPr>
        <w:t xml:space="preserve"> </w:t>
      </w:r>
      <w:r w:rsidRPr="00414E56">
        <w:rPr>
          <w:rFonts w:ascii="DejaVu Serif" w:hAnsi="DejaVu Serif"/>
          <w:sz w:val="20"/>
          <w:szCs w:val="20"/>
          <w:lang w:val="es-CL"/>
        </w:rPr>
        <w:t>completa, opo</w:t>
      </w:r>
      <w:r>
        <w:rPr>
          <w:rFonts w:ascii="DejaVu Serif" w:hAnsi="DejaVu Serif"/>
          <w:sz w:val="20"/>
          <w:szCs w:val="20"/>
          <w:lang w:val="es-CL"/>
        </w:rPr>
        <w:t>rtuna y accesible. Esta</w:t>
      </w:r>
      <w:r w:rsidR="00414E56" w:rsidRPr="00414E56">
        <w:rPr>
          <w:rFonts w:ascii="DejaVu Serif" w:hAnsi="DejaVu Serif"/>
          <w:sz w:val="20"/>
          <w:szCs w:val="20"/>
          <w:lang w:val="es-CL"/>
        </w:rPr>
        <w:t xml:space="preserve"> información</w:t>
      </w:r>
      <w:r>
        <w:rPr>
          <w:rFonts w:ascii="DejaVu Serif" w:hAnsi="DejaVu Serif"/>
          <w:sz w:val="20"/>
          <w:szCs w:val="20"/>
          <w:lang w:val="es-CL"/>
        </w:rPr>
        <w:t>,</w:t>
      </w:r>
      <w:r w:rsidR="00414E56" w:rsidRPr="00414E56">
        <w:rPr>
          <w:rFonts w:ascii="DejaVu Serif" w:hAnsi="DejaVu Serif"/>
          <w:sz w:val="20"/>
          <w:szCs w:val="20"/>
          <w:lang w:val="es-CL"/>
        </w:rPr>
        <w:t xml:space="preserve"> estará sujeta a un claro y preciso régimen de excepciones, las que </w:t>
      </w:r>
      <w:r>
        <w:rPr>
          <w:rFonts w:ascii="DejaVu Serif" w:hAnsi="DejaVu Serif"/>
          <w:sz w:val="20"/>
          <w:szCs w:val="20"/>
          <w:lang w:val="es-CL"/>
        </w:rPr>
        <w:t>serán</w:t>
      </w:r>
      <w:r w:rsidR="00414E56" w:rsidRPr="00414E56">
        <w:rPr>
          <w:rFonts w:ascii="DejaVu Serif" w:hAnsi="DejaVu Serif"/>
          <w:sz w:val="20"/>
          <w:szCs w:val="20"/>
          <w:lang w:val="es-CL"/>
        </w:rPr>
        <w:t xml:space="preserve"> definidas legalmente</w:t>
      </w:r>
      <w:r>
        <w:rPr>
          <w:rFonts w:ascii="DejaVu Serif" w:hAnsi="DejaVu Serif"/>
          <w:sz w:val="20"/>
          <w:szCs w:val="20"/>
          <w:lang w:val="es-CL"/>
        </w:rPr>
        <w:t xml:space="preserve">, gozarán de </w:t>
      </w:r>
      <w:r w:rsidR="00414E56" w:rsidRPr="00414E56">
        <w:rPr>
          <w:rFonts w:ascii="DejaVu Serif" w:hAnsi="DejaVu Serif"/>
          <w:sz w:val="20"/>
          <w:szCs w:val="20"/>
          <w:lang w:val="es-CL"/>
        </w:rPr>
        <w:t>leg</w:t>
      </w:r>
      <w:r>
        <w:rPr>
          <w:rFonts w:ascii="DejaVu Serif" w:hAnsi="DejaVu Serif"/>
          <w:sz w:val="20"/>
          <w:szCs w:val="20"/>
          <w:lang w:val="es-CL"/>
        </w:rPr>
        <w:t>itimidad</w:t>
      </w:r>
      <w:r w:rsidR="00414E56" w:rsidRPr="00414E56">
        <w:rPr>
          <w:rFonts w:ascii="DejaVu Serif" w:hAnsi="DejaVu Serif"/>
          <w:sz w:val="20"/>
          <w:szCs w:val="20"/>
          <w:lang w:val="es-CL"/>
        </w:rPr>
        <w:t xml:space="preserve"> y</w:t>
      </w:r>
      <w:r>
        <w:rPr>
          <w:rFonts w:ascii="DejaVu Serif" w:hAnsi="DejaVu Serif"/>
          <w:sz w:val="20"/>
          <w:szCs w:val="20"/>
          <w:lang w:val="es-CL"/>
        </w:rPr>
        <w:t xml:space="preserve"> deberán ser</w:t>
      </w:r>
      <w:r w:rsidR="00414E56" w:rsidRPr="00414E56">
        <w:rPr>
          <w:rFonts w:ascii="DejaVu Serif" w:hAnsi="DejaVu Serif"/>
          <w:sz w:val="20"/>
          <w:szCs w:val="20"/>
          <w:lang w:val="es-CL"/>
        </w:rPr>
        <w:t xml:space="preserve"> estrictamente necesarias en una sociedad democrática.</w:t>
      </w:r>
    </w:p>
    <w:p w14:paraId="0EB6DF9E" w14:textId="77777777" w:rsidR="00414E56" w:rsidRPr="00414E56" w:rsidRDefault="00414E56" w:rsidP="00C21635">
      <w:pPr>
        <w:pStyle w:val="NormalWeb"/>
        <w:spacing w:after="0" w:line="240" w:lineRule="auto"/>
        <w:ind w:right="74"/>
        <w:rPr>
          <w:rFonts w:ascii="DejaVu Serif" w:hAnsi="DejaVu Serif"/>
          <w:sz w:val="20"/>
          <w:szCs w:val="20"/>
          <w:lang w:val="es-CL"/>
        </w:rPr>
      </w:pPr>
    </w:p>
    <w:p w14:paraId="18AD7928" w14:textId="680DAE25" w:rsidR="00414E56" w:rsidRPr="00414E56" w:rsidRDefault="00414E56" w:rsidP="00C21635">
      <w:pPr>
        <w:pStyle w:val="NormalWeb"/>
        <w:spacing w:after="0"/>
        <w:ind w:right="74"/>
        <w:rPr>
          <w:rFonts w:ascii="DejaVu Serif" w:hAnsi="DejaVu Serif"/>
          <w:sz w:val="20"/>
          <w:szCs w:val="20"/>
          <w:lang w:val="es-CL"/>
        </w:rPr>
      </w:pPr>
      <w:r w:rsidRPr="00414E56">
        <w:rPr>
          <w:rFonts w:ascii="DejaVu Serif" w:hAnsi="DejaVu Serif"/>
          <w:sz w:val="20"/>
          <w:szCs w:val="20"/>
          <w:lang w:val="es-CL"/>
        </w:rPr>
        <w:t>A continuación</w:t>
      </w:r>
      <w:r w:rsidR="00242A81">
        <w:rPr>
          <w:rFonts w:ascii="DejaVu Serif" w:hAnsi="DejaVu Serif"/>
          <w:sz w:val="20"/>
          <w:szCs w:val="20"/>
          <w:lang w:val="es-CL"/>
        </w:rPr>
        <w:t xml:space="preserve"> la ley, también e</w:t>
      </w:r>
      <w:r w:rsidRPr="00414E56">
        <w:rPr>
          <w:rFonts w:ascii="DejaVu Serif" w:hAnsi="DejaVu Serif"/>
          <w:sz w:val="20"/>
          <w:szCs w:val="20"/>
          <w:lang w:val="es-CL"/>
        </w:rPr>
        <w:t xml:space="preserve">n </w:t>
      </w:r>
      <w:r w:rsidR="00971F06">
        <w:rPr>
          <w:rFonts w:ascii="DejaVu Serif" w:hAnsi="DejaVu Serif"/>
          <w:sz w:val="20"/>
          <w:szCs w:val="20"/>
          <w:lang w:val="es-CL"/>
        </w:rPr>
        <w:t xml:space="preserve">materia de </w:t>
      </w:r>
      <w:r w:rsidRPr="00414E56">
        <w:rPr>
          <w:rFonts w:ascii="DejaVu Serif" w:hAnsi="DejaVu Serif"/>
          <w:sz w:val="20"/>
          <w:szCs w:val="20"/>
          <w:lang w:val="es-CL"/>
        </w:rPr>
        <w:t xml:space="preserve">alcance y disposición, establece que </w:t>
      </w:r>
      <w:r w:rsidR="00242A81">
        <w:rPr>
          <w:rFonts w:ascii="DejaVu Serif" w:hAnsi="DejaVu Serif"/>
          <w:sz w:val="20"/>
          <w:szCs w:val="20"/>
          <w:lang w:val="es-CL"/>
        </w:rPr>
        <w:t xml:space="preserve">el deber de dar acceso </w:t>
      </w:r>
      <w:r w:rsidRPr="00414E56">
        <w:rPr>
          <w:rFonts w:ascii="DejaVu Serif" w:hAnsi="DejaVu Serif"/>
          <w:sz w:val="20"/>
          <w:szCs w:val="20"/>
          <w:lang w:val="es-CL"/>
        </w:rPr>
        <w:t xml:space="preserve"> se aplica a </w:t>
      </w:r>
    </w:p>
    <w:p w14:paraId="520DB551" w14:textId="77777777" w:rsidR="00414E56" w:rsidRPr="00414E56" w:rsidRDefault="00414E56" w:rsidP="00C21635">
      <w:pPr>
        <w:pStyle w:val="NormalWeb"/>
        <w:spacing w:after="0" w:line="240" w:lineRule="auto"/>
        <w:ind w:right="74"/>
        <w:rPr>
          <w:rFonts w:ascii="DejaVu Serif" w:hAnsi="DejaVu Serif"/>
          <w:sz w:val="20"/>
          <w:szCs w:val="20"/>
          <w:lang w:val="es-CL"/>
        </w:rPr>
      </w:pPr>
    </w:p>
    <w:p w14:paraId="3CA5BFEA" w14:textId="77777777" w:rsidR="00971F06" w:rsidRDefault="00414E56" w:rsidP="00C21635">
      <w:pPr>
        <w:pStyle w:val="NormalWeb"/>
        <w:spacing w:after="0" w:line="240" w:lineRule="auto"/>
        <w:ind w:left="567" w:right="74"/>
        <w:rPr>
          <w:rFonts w:ascii="DejaVu Serif" w:hAnsi="DejaVu Serif"/>
          <w:sz w:val="20"/>
          <w:szCs w:val="20"/>
          <w:lang w:val="es-CL"/>
        </w:rPr>
      </w:pPr>
      <w:r w:rsidRPr="00414E56">
        <w:rPr>
          <w:rFonts w:ascii="DejaVu Serif" w:hAnsi="DejaVu Serif"/>
          <w:sz w:val="20"/>
          <w:szCs w:val="20"/>
          <w:lang w:val="es-CL"/>
        </w:rPr>
        <w:t>[t]oda autoridad pública perteneciente a todas las ramas del Gobierno (Poderes Ejecutivo, Legislativo y Judicial) y en todos los niveles de la estructura gubernamental interna (central o federal, regional, provincial o municipal); se aplica también a los órganos, organismos o entidades independientes o autónomos de propiedad del Gobierno o controlados por el mismo, bien actuando por facultades otorgadas por la Constitución o por otras leyes, y se aplica asimismo a las organizaciones privadas que reciben fondos o beneficios públicos sustanciales (directa o indirectamente) o que desempeñan funciones y servicios públicos, pero solamente con respecto a los fondos o beneficios públicos recibidos o a las funciones y servicios públicos desempeñados. Todos estos órganos deberán tener su información disponible de acuerdo con lo previsto en la presente Ley.</w:t>
      </w:r>
    </w:p>
    <w:p w14:paraId="72F1D0B2" w14:textId="3DC05BB6" w:rsidR="00414E56" w:rsidRPr="00414E56" w:rsidRDefault="00414E56" w:rsidP="00414E56">
      <w:pPr>
        <w:pStyle w:val="NormalWeb"/>
        <w:spacing w:after="0" w:line="240" w:lineRule="auto"/>
        <w:ind w:left="567" w:right="74"/>
        <w:rPr>
          <w:rFonts w:ascii="DejaVu Serif" w:hAnsi="DejaVu Serif"/>
          <w:sz w:val="20"/>
          <w:szCs w:val="20"/>
          <w:lang w:val="es-CL"/>
        </w:rPr>
      </w:pPr>
      <w:r w:rsidRPr="00414E56">
        <w:rPr>
          <w:rFonts w:ascii="DejaVu Serif" w:hAnsi="DejaVu Serif"/>
          <w:sz w:val="20"/>
          <w:szCs w:val="20"/>
          <w:lang w:val="es-CL"/>
        </w:rPr>
        <w:t xml:space="preserve"> </w:t>
      </w:r>
    </w:p>
    <w:p w14:paraId="4F80E55E" w14:textId="46105271" w:rsidR="00414E56" w:rsidRPr="007869EF" w:rsidRDefault="00414E56" w:rsidP="006C550E">
      <w:pPr>
        <w:pStyle w:val="Prrafodelista"/>
        <w:numPr>
          <w:ilvl w:val="0"/>
          <w:numId w:val="10"/>
        </w:numPr>
        <w:ind w:left="709" w:hanging="709"/>
        <w:jc w:val="both"/>
        <w:rPr>
          <w:rFonts w:ascii="DejaVu Serif" w:hAnsi="DejaVu Serif"/>
          <w:b/>
          <w:sz w:val="20"/>
          <w:szCs w:val="20"/>
          <w:lang w:val="es-CL"/>
        </w:rPr>
      </w:pPr>
      <w:r w:rsidRPr="007869EF">
        <w:rPr>
          <w:rFonts w:ascii="DejaVu Serif" w:hAnsi="DejaVu Serif"/>
          <w:b/>
          <w:sz w:val="20"/>
          <w:szCs w:val="20"/>
          <w:lang w:val="es-CL"/>
        </w:rPr>
        <w:t>Jurisprudencia de la Corte Interamericana de Derechos Humanos</w:t>
      </w:r>
    </w:p>
    <w:p w14:paraId="644CF4FC" w14:textId="689596D5" w:rsidR="00414E56" w:rsidRDefault="00414E56" w:rsidP="00C21635">
      <w:pPr>
        <w:spacing w:after="0"/>
        <w:jc w:val="both"/>
        <w:rPr>
          <w:rFonts w:ascii="DejaVu Serif" w:hAnsi="DejaVu Serif"/>
          <w:sz w:val="20"/>
          <w:szCs w:val="20"/>
          <w:lang w:val="es-CL"/>
        </w:rPr>
      </w:pPr>
      <w:r w:rsidRPr="00414E56">
        <w:rPr>
          <w:rFonts w:ascii="DejaVu Serif" w:hAnsi="DejaVu Serif"/>
          <w:sz w:val="20"/>
          <w:szCs w:val="20"/>
          <w:lang w:val="es-CL"/>
        </w:rPr>
        <w:t>De acuerdo a</w:t>
      </w:r>
      <w:r w:rsidR="002853F5">
        <w:rPr>
          <w:rFonts w:ascii="DejaVu Serif" w:hAnsi="DejaVu Serif"/>
          <w:sz w:val="20"/>
          <w:szCs w:val="20"/>
          <w:lang w:val="es-CL"/>
        </w:rPr>
        <w:t xml:space="preserve"> la</w:t>
      </w:r>
      <w:r w:rsidRPr="00414E56">
        <w:rPr>
          <w:rFonts w:ascii="DejaVu Serif" w:hAnsi="DejaVu Serif"/>
          <w:sz w:val="20"/>
          <w:szCs w:val="20"/>
          <w:lang w:val="es-CL"/>
        </w:rPr>
        <w:t xml:space="preserve"> OEA (s/</w:t>
      </w:r>
      <w:r w:rsidR="00971F06">
        <w:rPr>
          <w:rFonts w:ascii="DejaVu Serif" w:hAnsi="DejaVu Serif"/>
          <w:sz w:val="20"/>
          <w:szCs w:val="20"/>
          <w:lang w:val="es-CL"/>
        </w:rPr>
        <w:t>f</w:t>
      </w:r>
      <w:r w:rsidRPr="00414E56">
        <w:rPr>
          <w:rFonts w:ascii="DejaVu Serif" w:hAnsi="DejaVu Serif"/>
          <w:sz w:val="20"/>
          <w:szCs w:val="20"/>
          <w:lang w:val="es-CL"/>
        </w:rPr>
        <w:t xml:space="preserve">) son dos los casos relacionados a acceso a la información pública que han sido resueltos por la Corte Interamericana de Derechos Humanos, siendo el caso Claude Reyes y otros Vs. Chile, el más relevante. A continuación se explica el alcance de </w:t>
      </w:r>
      <w:r w:rsidR="002853F5">
        <w:rPr>
          <w:rFonts w:ascii="DejaVu Serif" w:hAnsi="DejaVu Serif"/>
          <w:sz w:val="20"/>
          <w:szCs w:val="20"/>
          <w:lang w:val="es-CL"/>
        </w:rPr>
        <w:t xml:space="preserve">ambos </w:t>
      </w:r>
      <w:r w:rsidRPr="00414E56">
        <w:rPr>
          <w:rFonts w:ascii="DejaVu Serif" w:hAnsi="DejaVu Serif"/>
          <w:sz w:val="20"/>
          <w:szCs w:val="20"/>
          <w:lang w:val="es-CL"/>
        </w:rPr>
        <w:t>casos.</w:t>
      </w:r>
    </w:p>
    <w:p w14:paraId="45AE0AC8" w14:textId="77777777" w:rsidR="00C21635" w:rsidRPr="00414E56" w:rsidRDefault="00C21635" w:rsidP="00C21635">
      <w:pPr>
        <w:spacing w:after="0"/>
        <w:jc w:val="both"/>
        <w:rPr>
          <w:rFonts w:ascii="DejaVu Serif" w:hAnsi="DejaVu Serif"/>
          <w:sz w:val="20"/>
          <w:szCs w:val="20"/>
          <w:lang w:val="es-CL"/>
        </w:rPr>
      </w:pPr>
    </w:p>
    <w:p w14:paraId="1F4A82E3" w14:textId="77777777" w:rsidR="00414E56" w:rsidRPr="00414E56" w:rsidRDefault="00414E56" w:rsidP="006C550E">
      <w:pPr>
        <w:pStyle w:val="NormalWeb"/>
        <w:numPr>
          <w:ilvl w:val="0"/>
          <w:numId w:val="11"/>
        </w:numPr>
        <w:shd w:val="clear" w:color="auto" w:fill="FFFFFF"/>
        <w:spacing w:after="0" w:line="240" w:lineRule="auto"/>
        <w:ind w:hanging="720"/>
        <w:textAlignment w:val="top"/>
        <w:rPr>
          <w:rStyle w:val="Textoennegrita"/>
          <w:rFonts w:ascii="DejaVu Serif" w:hAnsi="DejaVu Serif"/>
          <w:sz w:val="20"/>
          <w:szCs w:val="20"/>
          <w:lang w:val="es-CL"/>
        </w:rPr>
      </w:pPr>
      <w:r w:rsidRPr="00414E56">
        <w:rPr>
          <w:rStyle w:val="Textoennegrita"/>
          <w:rFonts w:ascii="DejaVu Serif" w:hAnsi="DejaVu Serif"/>
          <w:sz w:val="20"/>
          <w:szCs w:val="20"/>
          <w:lang w:val="es-CL"/>
        </w:rPr>
        <w:t xml:space="preserve">Caso Gomes </w:t>
      </w:r>
      <w:proofErr w:type="spellStart"/>
      <w:r w:rsidRPr="00414E56">
        <w:rPr>
          <w:rStyle w:val="Textoennegrita"/>
          <w:rFonts w:ascii="DejaVu Serif" w:hAnsi="DejaVu Serif"/>
          <w:sz w:val="20"/>
          <w:szCs w:val="20"/>
          <w:lang w:val="es-CL"/>
        </w:rPr>
        <w:t>Lund</w:t>
      </w:r>
      <w:proofErr w:type="spellEnd"/>
      <w:r w:rsidRPr="00414E56">
        <w:rPr>
          <w:rStyle w:val="Textoennegrita"/>
          <w:rFonts w:ascii="DejaVu Serif" w:hAnsi="DejaVu Serif"/>
          <w:sz w:val="20"/>
          <w:szCs w:val="20"/>
          <w:lang w:val="es-CL"/>
        </w:rPr>
        <w:t xml:space="preserve"> (Guerrilla de </w:t>
      </w:r>
      <w:proofErr w:type="spellStart"/>
      <w:r w:rsidRPr="00414E56">
        <w:rPr>
          <w:rStyle w:val="Textoennegrita"/>
          <w:rFonts w:ascii="DejaVu Serif" w:hAnsi="DejaVu Serif"/>
          <w:sz w:val="20"/>
          <w:szCs w:val="20"/>
          <w:lang w:val="es-CL"/>
        </w:rPr>
        <w:t>Araguaia</w:t>
      </w:r>
      <w:proofErr w:type="spellEnd"/>
      <w:r w:rsidRPr="00414E56">
        <w:rPr>
          <w:rStyle w:val="Textoennegrita"/>
          <w:rFonts w:ascii="DejaVu Serif" w:hAnsi="DejaVu Serif"/>
          <w:sz w:val="20"/>
          <w:szCs w:val="20"/>
          <w:lang w:val="es-CL"/>
        </w:rPr>
        <w:t>) y otros vs. Brasil</w:t>
      </w:r>
    </w:p>
    <w:p w14:paraId="088BF025" w14:textId="77777777" w:rsidR="00414E56" w:rsidRPr="00414E56" w:rsidRDefault="00414E56" w:rsidP="00C21635">
      <w:pPr>
        <w:pStyle w:val="NormalWeb"/>
        <w:shd w:val="clear" w:color="auto" w:fill="FFFFFF"/>
        <w:spacing w:after="0" w:line="240" w:lineRule="auto"/>
        <w:textAlignment w:val="top"/>
        <w:rPr>
          <w:rStyle w:val="Textoennegrita"/>
          <w:rFonts w:ascii="DejaVu Serif" w:hAnsi="DejaVu Serif"/>
          <w:sz w:val="20"/>
          <w:szCs w:val="20"/>
          <w:lang w:val="es-CL"/>
        </w:rPr>
      </w:pPr>
    </w:p>
    <w:p w14:paraId="7B887F53" w14:textId="15CADF2D" w:rsidR="00414E56" w:rsidRDefault="00414E56" w:rsidP="00C21635">
      <w:pPr>
        <w:spacing w:after="0"/>
        <w:jc w:val="both"/>
        <w:rPr>
          <w:rFonts w:ascii="DejaVu Serif" w:hAnsi="DejaVu Serif"/>
          <w:sz w:val="20"/>
          <w:lang w:val="es-CL"/>
        </w:rPr>
      </w:pPr>
      <w:r w:rsidRPr="00414E56">
        <w:rPr>
          <w:rFonts w:ascii="DejaVu Serif" w:hAnsi="DejaVu Serif"/>
          <w:sz w:val="20"/>
          <w:szCs w:val="20"/>
          <w:lang w:val="es-CL"/>
        </w:rPr>
        <w:t xml:space="preserve">De acuerdo a la Corte Interamericana, este caso se refiere a la responsabilidad internacional del Estado por las desapariciones forzadas de los miembros de la Guerrilla de </w:t>
      </w:r>
      <w:proofErr w:type="spellStart"/>
      <w:r w:rsidRPr="00414E56">
        <w:rPr>
          <w:rFonts w:ascii="DejaVu Serif" w:hAnsi="DejaVu Serif"/>
          <w:sz w:val="20"/>
          <w:szCs w:val="20"/>
          <w:lang w:val="es-CL"/>
        </w:rPr>
        <w:t>Araguaia</w:t>
      </w:r>
      <w:proofErr w:type="spellEnd"/>
      <w:r w:rsidRPr="00414E56">
        <w:rPr>
          <w:rFonts w:ascii="DejaVu Serif" w:hAnsi="DejaVu Serif"/>
          <w:sz w:val="20"/>
          <w:szCs w:val="20"/>
          <w:lang w:val="es-CL"/>
        </w:rPr>
        <w:t xml:space="preserve"> ocurridas entre 1972 y 1975, así como por la falta de investigación de tales hechos</w:t>
      </w:r>
      <w:r w:rsidRPr="00414E56">
        <w:rPr>
          <w:rFonts w:ascii="DejaVu Serif" w:hAnsi="DejaVu Serif"/>
          <w:sz w:val="20"/>
          <w:lang w:val="es-CL"/>
        </w:rPr>
        <w:t>.</w:t>
      </w:r>
    </w:p>
    <w:p w14:paraId="56CB0CCF" w14:textId="77777777" w:rsidR="00C21635" w:rsidRPr="00414E56" w:rsidRDefault="00C21635" w:rsidP="00C21635">
      <w:pPr>
        <w:spacing w:after="0"/>
        <w:jc w:val="both"/>
        <w:rPr>
          <w:rFonts w:ascii="DejaVu Serif" w:hAnsi="DejaVu Serif"/>
          <w:sz w:val="20"/>
          <w:szCs w:val="20"/>
          <w:lang w:val="es-CL"/>
        </w:rPr>
      </w:pPr>
    </w:p>
    <w:p w14:paraId="3C68B884" w14:textId="055EED04" w:rsidR="00414E56" w:rsidRPr="00414E56" w:rsidRDefault="00414E56" w:rsidP="00C21635">
      <w:pPr>
        <w:pStyle w:val="NormalWeb"/>
        <w:shd w:val="clear" w:color="auto" w:fill="FFFFFF"/>
        <w:spacing w:after="0" w:line="240" w:lineRule="auto"/>
        <w:textAlignment w:val="top"/>
        <w:rPr>
          <w:rFonts w:ascii="DejaVu Serif" w:hAnsi="DejaVu Serif"/>
          <w:color w:val="000000"/>
          <w:sz w:val="20"/>
          <w:szCs w:val="20"/>
          <w:lang w:val="es-CL"/>
        </w:rPr>
      </w:pPr>
      <w:r w:rsidRPr="00414E56">
        <w:rPr>
          <w:rFonts w:ascii="DejaVu Serif" w:hAnsi="DejaVu Serif" w:cs="Courier New"/>
          <w:bCs/>
          <w:color w:val="000000"/>
          <w:sz w:val="20"/>
          <w:szCs w:val="20"/>
          <w:lang w:val="es-CL"/>
        </w:rPr>
        <w:t xml:space="preserve">En lo referente a los derechos de buscar y a recibir información, la sentencia señaló que </w:t>
      </w:r>
      <w:r w:rsidRPr="00414E56">
        <w:rPr>
          <w:rFonts w:ascii="DejaVu Serif" w:hAnsi="DejaVu Serif"/>
          <w:color w:val="000000"/>
          <w:sz w:val="20"/>
          <w:szCs w:val="20"/>
          <w:lang w:val="es-CL"/>
        </w:rPr>
        <w:t>el artículo 13 de la Convención Interamericana de Derechos Humanos, al estipular</w:t>
      </w:r>
      <w:r w:rsidR="002853F5">
        <w:rPr>
          <w:rFonts w:ascii="DejaVu Serif" w:hAnsi="DejaVu Serif"/>
          <w:color w:val="000000"/>
          <w:sz w:val="20"/>
          <w:szCs w:val="20"/>
          <w:lang w:val="es-CL"/>
        </w:rPr>
        <w:t>los</w:t>
      </w:r>
      <w:r w:rsidRPr="00414E56">
        <w:rPr>
          <w:rFonts w:ascii="DejaVu Serif" w:hAnsi="DejaVu Serif"/>
          <w:color w:val="000000"/>
          <w:sz w:val="20"/>
          <w:szCs w:val="20"/>
          <w:lang w:val="es-CL"/>
        </w:rPr>
        <w:t xml:space="preserve"> expresamente, protege el derecho que tiene toda persona a solicitar el acceso a la información bajo el control del Estado (Considerando 197). </w:t>
      </w:r>
    </w:p>
    <w:p w14:paraId="187B7A78" w14:textId="77777777" w:rsidR="00414E56" w:rsidRPr="00414E56" w:rsidRDefault="00414E56" w:rsidP="00C21635">
      <w:pPr>
        <w:pStyle w:val="NormalWeb"/>
        <w:shd w:val="clear" w:color="auto" w:fill="FFFFFF"/>
        <w:spacing w:after="0" w:line="240" w:lineRule="auto"/>
        <w:textAlignment w:val="top"/>
        <w:rPr>
          <w:rFonts w:ascii="DejaVu Serif" w:hAnsi="DejaVu Serif"/>
          <w:color w:val="000000"/>
          <w:sz w:val="20"/>
          <w:szCs w:val="20"/>
          <w:lang w:val="es-CL"/>
        </w:rPr>
      </w:pPr>
    </w:p>
    <w:p w14:paraId="54161141" w14:textId="0A15B2E2" w:rsidR="00414E56" w:rsidRPr="00414E56" w:rsidRDefault="00414E56" w:rsidP="00C21635">
      <w:pPr>
        <w:pStyle w:val="NormalWeb"/>
        <w:shd w:val="clear" w:color="auto" w:fill="FFFFFF"/>
        <w:spacing w:after="0" w:line="240" w:lineRule="auto"/>
        <w:textAlignment w:val="top"/>
        <w:rPr>
          <w:rFonts w:ascii="DejaVu Serif" w:hAnsi="DejaVu Serif"/>
          <w:color w:val="000000"/>
          <w:sz w:val="20"/>
          <w:szCs w:val="20"/>
          <w:lang w:val="es-CL"/>
        </w:rPr>
      </w:pPr>
      <w:r w:rsidRPr="00414E56">
        <w:rPr>
          <w:rFonts w:ascii="DejaVu Serif" w:hAnsi="DejaVu Serif"/>
          <w:color w:val="000000"/>
          <w:sz w:val="20"/>
          <w:szCs w:val="20"/>
          <w:lang w:val="es-CL"/>
        </w:rPr>
        <w:t xml:space="preserve">De la misma manera, el artículo 13 ampara el derecho de las personas a recibir dicha información y la obligación positiva del Estado de suministrarla, de forma tal que la persona pueda tener acceso y conocer esa información o reciba una respuesta fundamentada cuando, por algún </w:t>
      </w:r>
      <w:r w:rsidRPr="00414E56">
        <w:rPr>
          <w:rFonts w:ascii="DejaVu Serif" w:hAnsi="DejaVu Serif"/>
          <w:color w:val="000000"/>
          <w:sz w:val="20"/>
          <w:szCs w:val="20"/>
          <w:lang w:val="es-CL"/>
        </w:rPr>
        <w:t xml:space="preserve">motivo permitido por la Convención, el Estado </w:t>
      </w:r>
      <w:r w:rsidR="002853F5">
        <w:rPr>
          <w:rFonts w:ascii="DejaVu Serif" w:hAnsi="DejaVu Serif"/>
          <w:color w:val="000000"/>
          <w:sz w:val="20"/>
          <w:szCs w:val="20"/>
          <w:lang w:val="es-CL"/>
        </w:rPr>
        <w:t>limite</w:t>
      </w:r>
      <w:r w:rsidRPr="00414E56">
        <w:rPr>
          <w:rFonts w:ascii="DejaVu Serif" w:hAnsi="DejaVu Serif"/>
          <w:color w:val="000000"/>
          <w:sz w:val="20"/>
          <w:szCs w:val="20"/>
          <w:lang w:val="es-CL"/>
        </w:rPr>
        <w:t xml:space="preserve"> el acceso a la misma para el caso concreto. </w:t>
      </w:r>
    </w:p>
    <w:p w14:paraId="178B1795" w14:textId="77777777" w:rsidR="00971F06" w:rsidRDefault="00971F06" w:rsidP="00C21635">
      <w:pPr>
        <w:spacing w:after="0"/>
        <w:jc w:val="both"/>
        <w:rPr>
          <w:rFonts w:ascii="DejaVu Serif" w:hAnsi="DejaVu Serif"/>
          <w:sz w:val="20"/>
          <w:szCs w:val="20"/>
          <w:lang w:val="es-CL"/>
        </w:rPr>
      </w:pPr>
    </w:p>
    <w:p w14:paraId="2DAAFCD3" w14:textId="3D620900" w:rsidR="00414E56" w:rsidRDefault="00414E56" w:rsidP="00C21635">
      <w:pPr>
        <w:spacing w:after="0"/>
        <w:jc w:val="both"/>
        <w:rPr>
          <w:rFonts w:ascii="DejaVu Serif" w:hAnsi="DejaVu Serif"/>
          <w:sz w:val="20"/>
          <w:szCs w:val="20"/>
          <w:lang w:val="es-CL"/>
        </w:rPr>
      </w:pPr>
      <w:r w:rsidRPr="00414E56">
        <w:rPr>
          <w:rFonts w:ascii="DejaVu Serif" w:hAnsi="DejaVu Serif"/>
          <w:sz w:val="20"/>
          <w:szCs w:val="20"/>
          <w:lang w:val="es-CL"/>
        </w:rPr>
        <w:t xml:space="preserve">Por su parte, el considerando 199 </w:t>
      </w:r>
      <w:r w:rsidR="00F239D7">
        <w:rPr>
          <w:rFonts w:ascii="DejaVu Serif" w:hAnsi="DejaVu Serif"/>
          <w:sz w:val="20"/>
          <w:szCs w:val="20"/>
          <w:lang w:val="es-CL"/>
        </w:rPr>
        <w:t>de la sentencia señaló</w:t>
      </w:r>
      <w:r w:rsidRPr="00414E56">
        <w:rPr>
          <w:rFonts w:ascii="DejaVu Serif" w:hAnsi="DejaVu Serif"/>
          <w:sz w:val="20"/>
          <w:szCs w:val="20"/>
          <w:lang w:val="es-CL"/>
        </w:rPr>
        <w:t xml:space="preserve"> que la Corte Interamericana ha determinado que en una sociedad democrática es indispensable que las autoridades estatales se rijan por el principio de máxima divulgación, el cual establece la presunción de que toda información es accesible, sujeto a un sistema restringido de excepciones. Lo anterior, según el considerando 211, se traduce </w:t>
      </w:r>
      <w:r w:rsidR="00F239D7">
        <w:rPr>
          <w:rFonts w:ascii="DejaVu Serif" w:hAnsi="DejaVu Serif"/>
          <w:sz w:val="20"/>
          <w:szCs w:val="20"/>
          <w:lang w:val="es-CL"/>
        </w:rPr>
        <w:t xml:space="preserve">por ejemplo </w:t>
      </w:r>
      <w:r w:rsidRPr="00414E56">
        <w:rPr>
          <w:rFonts w:ascii="DejaVu Serif" w:hAnsi="DejaVu Serif"/>
          <w:sz w:val="20"/>
          <w:szCs w:val="20"/>
          <w:lang w:val="es-CL"/>
        </w:rPr>
        <w:t>en que la autoridad debe fundamentar su negativa a proveer información, demostrando que ha adoptado todas las medidas a su alcance para comprobar que, efectivamente, la información solicitada no existía</w:t>
      </w:r>
      <w:r w:rsidR="00F239D7">
        <w:rPr>
          <w:rFonts w:ascii="DejaVu Serif" w:hAnsi="DejaVu Serif"/>
          <w:sz w:val="20"/>
          <w:szCs w:val="20"/>
          <w:lang w:val="es-CL"/>
        </w:rPr>
        <w:t>.</w:t>
      </w:r>
      <w:r w:rsidRPr="00414E56">
        <w:rPr>
          <w:rFonts w:ascii="DejaVu Serif" w:hAnsi="DejaVu Serif"/>
          <w:sz w:val="20"/>
          <w:szCs w:val="20"/>
          <w:lang w:val="es-CL"/>
        </w:rPr>
        <w:t xml:space="preserve"> Asimismo,</w:t>
      </w:r>
      <w:r w:rsidR="00F239D7">
        <w:rPr>
          <w:rFonts w:ascii="DejaVu Serif" w:hAnsi="DejaVu Serif"/>
          <w:sz w:val="20"/>
          <w:szCs w:val="20"/>
          <w:lang w:val="es-CL"/>
        </w:rPr>
        <w:t xml:space="preserve"> indicó la sentencia,</w:t>
      </w:r>
      <w:r w:rsidRPr="00414E56">
        <w:rPr>
          <w:rFonts w:ascii="DejaVu Serif" w:hAnsi="DejaVu Serif"/>
          <w:sz w:val="20"/>
          <w:szCs w:val="20"/>
          <w:lang w:val="es-CL"/>
        </w:rPr>
        <w:t xml:space="preserve"> resulta esencial que, para garantizar el derecho a la información, los poderes públicos actúen de buena fe y realicen diligentemente las acciones necesarias para asegurar la efectividad de ese derecho (considerando 30).</w:t>
      </w:r>
    </w:p>
    <w:p w14:paraId="144283E8" w14:textId="77777777" w:rsidR="00C21635" w:rsidRPr="00414E56" w:rsidRDefault="00C21635" w:rsidP="00C21635">
      <w:pPr>
        <w:spacing w:after="0"/>
        <w:jc w:val="both"/>
        <w:rPr>
          <w:rFonts w:ascii="DejaVu Serif" w:hAnsi="DejaVu Serif"/>
          <w:color w:val="000000"/>
          <w:sz w:val="20"/>
          <w:szCs w:val="20"/>
          <w:lang w:val="es-CL"/>
        </w:rPr>
      </w:pPr>
    </w:p>
    <w:p w14:paraId="13B203F8" w14:textId="77777777" w:rsidR="00414E56" w:rsidRPr="00414E56" w:rsidRDefault="00414E56" w:rsidP="006C550E">
      <w:pPr>
        <w:pStyle w:val="NormalWeb"/>
        <w:numPr>
          <w:ilvl w:val="0"/>
          <w:numId w:val="11"/>
        </w:numPr>
        <w:spacing w:after="0" w:line="240" w:lineRule="auto"/>
        <w:ind w:right="397" w:hanging="720"/>
        <w:rPr>
          <w:rFonts w:ascii="DejaVu Serif" w:hAnsi="DejaVu Serif"/>
          <w:b/>
          <w:sz w:val="20"/>
          <w:szCs w:val="20"/>
          <w:lang w:val="es-CL"/>
        </w:rPr>
      </w:pPr>
      <w:r w:rsidRPr="00414E56">
        <w:rPr>
          <w:rFonts w:ascii="DejaVu Serif" w:hAnsi="DejaVu Serif"/>
          <w:b/>
          <w:sz w:val="20"/>
          <w:szCs w:val="20"/>
          <w:lang w:val="es-CL"/>
        </w:rPr>
        <w:t>Caso Claude Reyes y otros vs. Chile</w:t>
      </w:r>
    </w:p>
    <w:p w14:paraId="2F4F085A" w14:textId="77777777" w:rsidR="00414E56" w:rsidRPr="00414E56" w:rsidRDefault="00414E56" w:rsidP="00414E56">
      <w:pPr>
        <w:pStyle w:val="NormalWeb"/>
        <w:shd w:val="clear" w:color="auto" w:fill="FFFFFF"/>
        <w:spacing w:after="0"/>
        <w:textAlignment w:val="top"/>
        <w:rPr>
          <w:rStyle w:val="Textoennegrita"/>
          <w:rFonts w:ascii="DejaVu Serif" w:hAnsi="DejaVu Serif"/>
          <w:sz w:val="20"/>
          <w:szCs w:val="20"/>
          <w:lang w:val="es-CL"/>
        </w:rPr>
      </w:pPr>
    </w:p>
    <w:p w14:paraId="06003493" w14:textId="11A0FCAA" w:rsidR="00414E56" w:rsidRPr="00414E56" w:rsidRDefault="00414E56" w:rsidP="00C21635">
      <w:pPr>
        <w:pStyle w:val="NormalWeb"/>
        <w:shd w:val="clear" w:color="auto" w:fill="FFFFFF"/>
        <w:spacing w:after="0" w:line="240" w:lineRule="auto"/>
        <w:textAlignment w:val="top"/>
        <w:rPr>
          <w:rFonts w:ascii="DejaVu Serif" w:hAnsi="DejaVu Serif"/>
          <w:color w:val="000000"/>
          <w:sz w:val="20"/>
          <w:szCs w:val="20"/>
          <w:shd w:val="clear" w:color="auto" w:fill="FFFFFF"/>
          <w:lang w:val="es-CL"/>
        </w:rPr>
      </w:pPr>
      <w:r w:rsidRPr="00414E56">
        <w:rPr>
          <w:rFonts w:ascii="DejaVu Serif" w:hAnsi="DejaVu Serif"/>
          <w:color w:val="000000"/>
          <w:sz w:val="20"/>
          <w:szCs w:val="20"/>
          <w:shd w:val="clear" w:color="auto" w:fill="FFFFFF"/>
          <w:lang w:val="es-CL"/>
        </w:rPr>
        <w:t xml:space="preserve">De acuerdo a la Corte Interamericana, este caso se refiere a la responsabilidad internacional del Estado por la negativa de brindar información relacionada a un proyecto de industrialización forestal </w:t>
      </w:r>
      <w:r w:rsidR="00D542EC">
        <w:rPr>
          <w:rFonts w:ascii="DejaVu Serif" w:hAnsi="DejaVu Serif"/>
          <w:color w:val="000000"/>
          <w:sz w:val="20"/>
          <w:szCs w:val="20"/>
          <w:shd w:val="clear" w:color="auto" w:fill="FFFFFF"/>
          <w:lang w:val="es-CL"/>
        </w:rPr>
        <w:t>a</w:t>
      </w:r>
      <w:r w:rsidRPr="00414E56">
        <w:rPr>
          <w:rFonts w:ascii="DejaVu Serif" w:hAnsi="DejaVu Serif"/>
          <w:color w:val="000000"/>
          <w:sz w:val="20"/>
          <w:szCs w:val="20"/>
          <w:shd w:val="clear" w:color="auto" w:fill="FFFFFF"/>
          <w:lang w:val="es-CL"/>
        </w:rPr>
        <w:t xml:space="preserve"> Marcel Claude Reyes, así como a la falta de un recurso adecuado y efectivo para cuestionar tal decisión.</w:t>
      </w:r>
    </w:p>
    <w:p w14:paraId="50ED90A4" w14:textId="77777777" w:rsidR="00414E56" w:rsidRPr="00414E56" w:rsidRDefault="00414E56" w:rsidP="00C21635">
      <w:pPr>
        <w:pStyle w:val="NormalWeb"/>
        <w:shd w:val="clear" w:color="auto" w:fill="FFFFFF"/>
        <w:spacing w:after="0" w:line="240" w:lineRule="auto"/>
        <w:textAlignment w:val="top"/>
        <w:rPr>
          <w:rStyle w:val="Textoennegrita"/>
          <w:rFonts w:ascii="DejaVu Serif" w:hAnsi="DejaVu Serif"/>
          <w:sz w:val="20"/>
          <w:szCs w:val="20"/>
          <w:lang w:val="es-CL"/>
        </w:rPr>
      </w:pPr>
    </w:p>
    <w:p w14:paraId="44D2C7FB" w14:textId="020A8569" w:rsidR="00414E56" w:rsidRPr="00414E56" w:rsidRDefault="00414E56" w:rsidP="00C21635">
      <w:pPr>
        <w:pStyle w:val="NormalWeb"/>
        <w:shd w:val="clear" w:color="auto" w:fill="FFFFFF"/>
        <w:spacing w:after="0" w:line="240" w:lineRule="auto"/>
        <w:textAlignment w:val="top"/>
        <w:rPr>
          <w:rFonts w:ascii="DejaVu Serif" w:hAnsi="DejaVu Serif"/>
          <w:color w:val="000000"/>
          <w:sz w:val="20"/>
          <w:szCs w:val="20"/>
          <w:lang w:val="es-CL"/>
        </w:rPr>
      </w:pPr>
      <w:r w:rsidRPr="00414E56">
        <w:rPr>
          <w:rStyle w:val="Textoennegrita"/>
          <w:rFonts w:ascii="DejaVu Serif" w:hAnsi="DejaVu Serif"/>
          <w:b w:val="0"/>
          <w:sz w:val="20"/>
          <w:szCs w:val="20"/>
          <w:lang w:val="es-CL"/>
        </w:rPr>
        <w:t>En su sentencia</w:t>
      </w:r>
      <w:r w:rsidR="00D542EC">
        <w:rPr>
          <w:rStyle w:val="Textoennegrita"/>
          <w:rFonts w:ascii="DejaVu Serif" w:hAnsi="DejaVu Serif"/>
          <w:b w:val="0"/>
          <w:sz w:val="20"/>
          <w:szCs w:val="20"/>
          <w:lang w:val="es-CL"/>
        </w:rPr>
        <w:t>,</w:t>
      </w:r>
      <w:r w:rsidRPr="00414E56">
        <w:rPr>
          <w:rStyle w:val="Textoennegrita"/>
          <w:rFonts w:ascii="DejaVu Serif" w:hAnsi="DejaVu Serif"/>
          <w:b w:val="0"/>
          <w:sz w:val="20"/>
          <w:szCs w:val="20"/>
          <w:lang w:val="es-CL"/>
        </w:rPr>
        <w:t xml:space="preserve"> la Corte estimó que el</w:t>
      </w:r>
      <w:r w:rsidRPr="00414E56">
        <w:rPr>
          <w:rFonts w:ascii="DejaVu Serif" w:hAnsi="DejaVu Serif"/>
          <w:color w:val="000000"/>
          <w:sz w:val="20"/>
          <w:szCs w:val="20"/>
          <w:lang w:val="es-CL"/>
        </w:rPr>
        <w:t xml:space="preserve"> artículo 13 de la Convención, al estipular expresamente los derechos a “buscar” y a “recibir” “informaciones”, protege el derecho que tiene toda persona a solicitar el acceso a la información bajo el control del Estado, con las salvedades permitidas bajo el régimen de restricciones de la Convención. Esta información debe ser entregada sin necesidad de acreditar un interés directo para su obtención o una afectación personal, salvo en los casos en que se aplique una legítima restricción. </w:t>
      </w:r>
      <w:r w:rsidR="00D542EC">
        <w:rPr>
          <w:rFonts w:ascii="DejaVu Serif" w:hAnsi="DejaVu Serif"/>
          <w:color w:val="000000"/>
          <w:sz w:val="20"/>
          <w:szCs w:val="20"/>
          <w:lang w:val="es-CL"/>
        </w:rPr>
        <w:t>La</w:t>
      </w:r>
      <w:r w:rsidRPr="00414E56">
        <w:rPr>
          <w:rFonts w:ascii="DejaVu Serif" w:hAnsi="DejaVu Serif"/>
          <w:color w:val="000000"/>
          <w:sz w:val="20"/>
          <w:szCs w:val="20"/>
          <w:lang w:val="es-CL"/>
        </w:rPr>
        <w:t xml:space="preserve"> entrega </w:t>
      </w:r>
      <w:r w:rsidR="00D542EC">
        <w:rPr>
          <w:rFonts w:ascii="DejaVu Serif" w:hAnsi="DejaVu Serif"/>
          <w:color w:val="000000"/>
          <w:sz w:val="20"/>
          <w:szCs w:val="20"/>
          <w:lang w:val="es-CL"/>
        </w:rPr>
        <w:t xml:space="preserve">de la información </w:t>
      </w:r>
      <w:r w:rsidRPr="00414E56">
        <w:rPr>
          <w:rFonts w:ascii="DejaVu Serif" w:hAnsi="DejaVu Serif"/>
          <w:color w:val="000000"/>
          <w:sz w:val="20"/>
          <w:szCs w:val="20"/>
          <w:lang w:val="es-CL"/>
        </w:rPr>
        <w:t xml:space="preserve">a una persona </w:t>
      </w:r>
      <w:r w:rsidR="00D542EC">
        <w:rPr>
          <w:rFonts w:ascii="DejaVu Serif" w:hAnsi="DejaVu Serif"/>
          <w:color w:val="000000"/>
          <w:sz w:val="20"/>
          <w:szCs w:val="20"/>
          <w:lang w:val="es-CL"/>
        </w:rPr>
        <w:t>debe</w:t>
      </w:r>
      <w:r w:rsidRPr="00414E56">
        <w:rPr>
          <w:rFonts w:ascii="DejaVu Serif" w:hAnsi="DejaVu Serif"/>
          <w:color w:val="000000"/>
          <w:sz w:val="20"/>
          <w:szCs w:val="20"/>
          <w:lang w:val="es-CL"/>
        </w:rPr>
        <w:t xml:space="preserve"> permitir a su vez que ésta circule en la sociedad de manera que pueda conocerla, acceder a ella y valorarla (Considerando 77).</w:t>
      </w:r>
    </w:p>
    <w:p w14:paraId="654ED14E" w14:textId="77777777" w:rsidR="00414E56" w:rsidRPr="00414E56" w:rsidRDefault="00414E56" w:rsidP="00C21635">
      <w:pPr>
        <w:pStyle w:val="NormalWeb"/>
        <w:shd w:val="clear" w:color="auto" w:fill="FFFFFF"/>
        <w:spacing w:after="0" w:line="240" w:lineRule="auto"/>
        <w:textAlignment w:val="top"/>
        <w:rPr>
          <w:rFonts w:ascii="Verdana" w:hAnsi="Verdana"/>
          <w:color w:val="000000"/>
          <w:sz w:val="18"/>
          <w:szCs w:val="18"/>
          <w:lang w:val="es-CL"/>
        </w:rPr>
      </w:pPr>
      <w:r w:rsidRPr="00414E56">
        <w:rPr>
          <w:rFonts w:ascii="Verdana" w:hAnsi="Verdana"/>
          <w:color w:val="000000"/>
          <w:sz w:val="18"/>
          <w:szCs w:val="18"/>
          <w:lang w:val="es-CL"/>
        </w:rPr>
        <w:t xml:space="preserve"> </w:t>
      </w:r>
    </w:p>
    <w:p w14:paraId="1BC09779" w14:textId="77777777" w:rsidR="00414E56" w:rsidRPr="00414E56" w:rsidRDefault="00414E56" w:rsidP="00C21635">
      <w:pPr>
        <w:pStyle w:val="NormalWeb"/>
        <w:shd w:val="clear" w:color="auto" w:fill="FFFFFF"/>
        <w:spacing w:after="0" w:line="240" w:lineRule="auto"/>
        <w:textAlignment w:val="top"/>
        <w:rPr>
          <w:rFonts w:ascii="DejaVu Serif" w:hAnsi="DejaVu Serif"/>
          <w:color w:val="000000"/>
          <w:sz w:val="20"/>
          <w:szCs w:val="20"/>
          <w:lang w:val="es-CL"/>
        </w:rPr>
      </w:pPr>
      <w:r w:rsidRPr="00414E56">
        <w:rPr>
          <w:rFonts w:ascii="DejaVu Serif" w:hAnsi="DejaVu Serif"/>
          <w:color w:val="000000"/>
          <w:sz w:val="20"/>
          <w:szCs w:val="20"/>
          <w:lang w:val="es-CL"/>
        </w:rPr>
        <w:t xml:space="preserve">Luego, el considerando 86 dispuso que el actuar del Estado debe encontrarse regido por los principios de publicidad y transparencia en la gestión pública, lo que hace posible que las personas que se encuentran bajo su jurisdicción ejerzan el control democrático de las gestiones estatales, de forma tal que puedan cuestionar, indagar y considerar si se está dando un </w:t>
      </w:r>
      <w:r w:rsidRPr="00414E56">
        <w:rPr>
          <w:rFonts w:ascii="DejaVu Serif" w:hAnsi="DejaVu Serif"/>
          <w:color w:val="000000"/>
          <w:sz w:val="20"/>
          <w:szCs w:val="20"/>
          <w:lang w:val="es-CL"/>
        </w:rPr>
        <w:lastRenderedPageBreak/>
        <w:t>adecuado cumplimiento de las funciones públicas.  </w:t>
      </w:r>
    </w:p>
    <w:p w14:paraId="467FB348" w14:textId="77777777" w:rsidR="00414E56" w:rsidRPr="00414E56" w:rsidRDefault="00414E56" w:rsidP="00C21635">
      <w:pPr>
        <w:pStyle w:val="NormalWeb"/>
        <w:shd w:val="clear" w:color="auto" w:fill="FFFFFF"/>
        <w:spacing w:after="0" w:line="240" w:lineRule="auto"/>
        <w:textAlignment w:val="top"/>
        <w:rPr>
          <w:rFonts w:ascii="DejaVu Serif" w:hAnsi="DejaVu Serif"/>
          <w:color w:val="000000"/>
          <w:sz w:val="20"/>
          <w:szCs w:val="20"/>
          <w:lang w:val="es-CL"/>
        </w:rPr>
      </w:pPr>
    </w:p>
    <w:p w14:paraId="2C0D9F15" w14:textId="7ABC1F8A" w:rsidR="00414E56" w:rsidRPr="00414E56" w:rsidRDefault="00414E56" w:rsidP="00C21635">
      <w:pPr>
        <w:pStyle w:val="NormalWeb"/>
        <w:shd w:val="clear" w:color="auto" w:fill="FFFFFF"/>
        <w:spacing w:after="0" w:line="240" w:lineRule="auto"/>
        <w:textAlignment w:val="top"/>
        <w:rPr>
          <w:rFonts w:ascii="DejaVu Serif" w:hAnsi="DejaVu Serif"/>
          <w:color w:val="000000"/>
          <w:sz w:val="20"/>
          <w:szCs w:val="20"/>
          <w:lang w:val="es-CL"/>
        </w:rPr>
      </w:pPr>
      <w:r w:rsidRPr="00414E56">
        <w:rPr>
          <w:rFonts w:ascii="DejaVu Serif" w:hAnsi="DejaVu Serif"/>
          <w:color w:val="000000"/>
          <w:sz w:val="20"/>
          <w:szCs w:val="20"/>
          <w:lang w:val="es-CL"/>
        </w:rPr>
        <w:t>Justificando la existencia del principio de publicidad y de transparencia, el considerando 87, estableció que por parte de la sociedad a través de la opinión pública, se fomenta la transparencia de las actividades estatales y promueve la responsabilidad de los funcionarios sobre su gestión pública. Por lo anterior, estimó la Corte Interamericana</w:t>
      </w:r>
      <w:r w:rsidR="00D542EC">
        <w:rPr>
          <w:rFonts w:ascii="DejaVu Serif" w:hAnsi="DejaVu Serif"/>
          <w:color w:val="000000"/>
          <w:sz w:val="20"/>
          <w:szCs w:val="20"/>
          <w:lang w:val="es-CL"/>
        </w:rPr>
        <w:t xml:space="preserve"> </w:t>
      </w:r>
      <w:r w:rsidRPr="00414E56">
        <w:rPr>
          <w:rFonts w:ascii="DejaVu Serif" w:hAnsi="DejaVu Serif"/>
          <w:color w:val="000000"/>
          <w:sz w:val="20"/>
          <w:szCs w:val="20"/>
          <w:lang w:val="es-CL"/>
        </w:rPr>
        <w:t>que</w:t>
      </w:r>
      <w:r w:rsidR="00D542EC">
        <w:rPr>
          <w:rFonts w:ascii="DejaVu Serif" w:hAnsi="DejaVu Serif"/>
          <w:color w:val="000000"/>
          <w:sz w:val="20"/>
          <w:szCs w:val="20"/>
          <w:lang w:val="es-CL"/>
        </w:rPr>
        <w:t>,</w:t>
      </w:r>
      <w:r w:rsidRPr="00414E56">
        <w:rPr>
          <w:rFonts w:ascii="DejaVu Serif" w:hAnsi="DejaVu Serif"/>
          <w:color w:val="000000"/>
          <w:sz w:val="20"/>
          <w:szCs w:val="20"/>
          <w:lang w:val="es-CL"/>
        </w:rPr>
        <w:t xml:space="preserve"> </w:t>
      </w:r>
      <w:r w:rsidR="00D542EC">
        <w:rPr>
          <w:rFonts w:ascii="DejaVu Serif" w:hAnsi="DejaVu Serif"/>
          <w:color w:val="000000"/>
          <w:sz w:val="20"/>
          <w:szCs w:val="20"/>
          <w:lang w:val="es-CL"/>
        </w:rPr>
        <w:t xml:space="preserve">para que </w:t>
      </w:r>
      <w:r w:rsidRPr="00414E56">
        <w:rPr>
          <w:rFonts w:ascii="DejaVu Serif" w:hAnsi="DejaVu Serif"/>
          <w:color w:val="000000"/>
          <w:sz w:val="20"/>
          <w:szCs w:val="20"/>
          <w:lang w:val="es-CL"/>
        </w:rPr>
        <w:t>las personas puedan ejercer el control democrático es esencial que el Estado garantice el acceso a la información de interés público bajo su control. Al permitir el ejercicio de ese control democrático se fomenta una mayor participación de las personas en los intereses de la sociedad.</w:t>
      </w:r>
    </w:p>
    <w:p w14:paraId="219CBEE0" w14:textId="77777777" w:rsidR="00414E56" w:rsidRPr="00414E56" w:rsidRDefault="00414E56" w:rsidP="00414E56">
      <w:pPr>
        <w:pStyle w:val="NormalWeb"/>
        <w:shd w:val="clear" w:color="auto" w:fill="FFFFFF"/>
        <w:spacing w:after="0"/>
        <w:textAlignment w:val="top"/>
        <w:rPr>
          <w:rFonts w:ascii="Verdana" w:hAnsi="Verdana"/>
          <w:color w:val="000000"/>
          <w:sz w:val="18"/>
          <w:szCs w:val="18"/>
          <w:lang w:val="es-CL"/>
        </w:rPr>
      </w:pPr>
    </w:p>
    <w:p w14:paraId="15534D7A" w14:textId="77777777" w:rsidR="00414E56" w:rsidRPr="00414E56" w:rsidRDefault="00414E56" w:rsidP="00414E56">
      <w:pPr>
        <w:pStyle w:val="NormalWeb"/>
        <w:shd w:val="clear" w:color="auto" w:fill="FFFFFF"/>
        <w:spacing w:after="0"/>
        <w:textAlignment w:val="top"/>
        <w:rPr>
          <w:rFonts w:ascii="DejaVu Serif" w:hAnsi="DejaVu Serif"/>
          <w:sz w:val="20"/>
          <w:szCs w:val="20"/>
          <w:lang w:val="es-CL"/>
        </w:rPr>
      </w:pPr>
      <w:r w:rsidRPr="00414E56">
        <w:rPr>
          <w:rFonts w:ascii="DejaVu Serif" w:hAnsi="DejaVu Serif"/>
          <w:sz w:val="20"/>
          <w:szCs w:val="20"/>
          <w:lang w:val="es-CL"/>
        </w:rPr>
        <w:t>En términos del alcance de los principios de publicidad y transparencia, la Corte observó que en una sociedad democrática es indispensable que las autoridades estatales se rijan por el principio de máxima divulgación, el cual establece la presunción de que toda información es accesible, sujeto a un sistema restringido de excepciones (considerando 92).</w:t>
      </w:r>
    </w:p>
    <w:p w14:paraId="37CFFA57" w14:textId="77777777" w:rsidR="00414E56" w:rsidRPr="00414E56" w:rsidRDefault="00414E56" w:rsidP="00414E56">
      <w:pPr>
        <w:pStyle w:val="NormalWeb"/>
        <w:shd w:val="clear" w:color="auto" w:fill="FFFFFF"/>
        <w:spacing w:after="0"/>
        <w:textAlignment w:val="top"/>
        <w:rPr>
          <w:rFonts w:ascii="DejaVu Serif" w:hAnsi="DejaVu Serif"/>
          <w:sz w:val="20"/>
          <w:szCs w:val="20"/>
          <w:lang w:val="es-CL"/>
        </w:rPr>
      </w:pPr>
    </w:p>
    <w:p w14:paraId="40C3BE36" w14:textId="10865A0A" w:rsidR="00414E56" w:rsidRDefault="003A326E" w:rsidP="00414E56">
      <w:pPr>
        <w:pStyle w:val="NormalWeb"/>
        <w:shd w:val="clear" w:color="auto" w:fill="FFFFFF"/>
        <w:spacing w:after="0"/>
        <w:textAlignment w:val="top"/>
        <w:rPr>
          <w:rFonts w:ascii="DejaVu Serif" w:hAnsi="DejaVu Serif"/>
          <w:sz w:val="20"/>
          <w:szCs w:val="20"/>
          <w:lang w:val="es-CL"/>
        </w:rPr>
      </w:pPr>
      <w:r>
        <w:rPr>
          <w:rFonts w:ascii="DejaVu Serif" w:hAnsi="DejaVu Serif"/>
          <w:sz w:val="20"/>
          <w:szCs w:val="20"/>
          <w:lang w:val="es-CL"/>
        </w:rPr>
        <w:t>Por último, l</w:t>
      </w:r>
      <w:r w:rsidR="00414E56" w:rsidRPr="00414E56">
        <w:rPr>
          <w:rFonts w:ascii="DejaVu Serif" w:hAnsi="DejaVu Serif"/>
          <w:sz w:val="20"/>
          <w:szCs w:val="20"/>
          <w:lang w:val="es-CL"/>
        </w:rPr>
        <w:t xml:space="preserve">a Corte, en el considerando 101 reiteró que, de conformidad con el deber dispuesto en el artículo 2 de la Convención, el Estado tiene que adoptar las medidas necesarias para garantizar los derechos protegidos en la Convención. Lo anterior, implica la supresión tanto de las normas y prácticas que entrañen violaciones a tales derechos, así como la expedición de normas y el desarrollo de prácticas conducentes a la efectiva observancia de dichas garantías. </w:t>
      </w:r>
    </w:p>
    <w:p w14:paraId="73AB9982" w14:textId="77777777" w:rsidR="007869EF" w:rsidRDefault="007869EF" w:rsidP="00414E56">
      <w:pPr>
        <w:pStyle w:val="NormalWeb"/>
        <w:shd w:val="clear" w:color="auto" w:fill="FFFFFF"/>
        <w:spacing w:after="0"/>
        <w:textAlignment w:val="top"/>
        <w:rPr>
          <w:rFonts w:ascii="DejaVu Serif" w:hAnsi="DejaVu Serif"/>
          <w:sz w:val="20"/>
          <w:szCs w:val="20"/>
          <w:lang w:val="es-CL"/>
        </w:rPr>
      </w:pPr>
    </w:p>
    <w:p w14:paraId="2CAF9297" w14:textId="1D6D7D4D" w:rsidR="00414E56" w:rsidRPr="00414E56" w:rsidRDefault="00414E56" w:rsidP="006C550E">
      <w:pPr>
        <w:pStyle w:val="Prrafodelista"/>
        <w:numPr>
          <w:ilvl w:val="0"/>
          <w:numId w:val="10"/>
        </w:numPr>
        <w:spacing w:after="0"/>
        <w:ind w:left="709" w:hanging="709"/>
        <w:jc w:val="both"/>
        <w:rPr>
          <w:rFonts w:ascii="DejaVu Serif" w:hAnsi="DejaVu Serif"/>
          <w:b/>
          <w:sz w:val="20"/>
          <w:lang w:val="es-CL"/>
        </w:rPr>
      </w:pPr>
      <w:r w:rsidRPr="00414E56">
        <w:rPr>
          <w:rFonts w:ascii="DejaVu Serif" w:hAnsi="DejaVu Serif"/>
          <w:b/>
          <w:sz w:val="20"/>
          <w:lang w:val="es-CL"/>
        </w:rPr>
        <w:t xml:space="preserve">Algunos acuerdos adoptados </w:t>
      </w:r>
      <w:r w:rsidR="006F1E40">
        <w:rPr>
          <w:rFonts w:ascii="DejaVu Serif" w:hAnsi="DejaVu Serif"/>
          <w:b/>
          <w:sz w:val="20"/>
          <w:lang w:val="es-CL"/>
        </w:rPr>
        <w:t>por</w:t>
      </w:r>
      <w:r w:rsidR="007869EF">
        <w:rPr>
          <w:rFonts w:ascii="DejaVu Serif" w:hAnsi="DejaVu Serif"/>
          <w:b/>
          <w:sz w:val="20"/>
          <w:lang w:val="es-CL"/>
        </w:rPr>
        <w:t xml:space="preserve"> </w:t>
      </w:r>
      <w:r w:rsidRPr="00414E56">
        <w:rPr>
          <w:rFonts w:ascii="DejaVu Serif" w:hAnsi="DejaVu Serif"/>
          <w:b/>
          <w:sz w:val="20"/>
          <w:lang w:val="es-CL"/>
        </w:rPr>
        <w:t xml:space="preserve">la Asamblea General de la OEA </w:t>
      </w:r>
      <w:r w:rsidR="006F1E40">
        <w:rPr>
          <w:rFonts w:ascii="DejaVu Serif" w:hAnsi="DejaVu Serif"/>
          <w:b/>
          <w:sz w:val="20"/>
          <w:lang w:val="es-CL"/>
        </w:rPr>
        <w:t>sobre Acceso a la</w:t>
      </w:r>
      <w:r w:rsidRPr="00414E56">
        <w:rPr>
          <w:rFonts w:ascii="DejaVu Serif" w:hAnsi="DejaVu Serif"/>
          <w:b/>
          <w:sz w:val="20"/>
          <w:lang w:val="es-CL"/>
        </w:rPr>
        <w:t xml:space="preserve"> Información Pública</w:t>
      </w:r>
    </w:p>
    <w:p w14:paraId="66977E8C" w14:textId="77777777" w:rsidR="00414E56" w:rsidRPr="00414E56" w:rsidRDefault="00414E56" w:rsidP="00414E56">
      <w:pPr>
        <w:pStyle w:val="NormalWeb"/>
        <w:spacing w:after="0"/>
        <w:ind w:right="397"/>
        <w:rPr>
          <w:rFonts w:ascii="DejaVu Serif" w:hAnsi="DejaVu Serif"/>
          <w:sz w:val="20"/>
          <w:szCs w:val="20"/>
          <w:lang w:val="es-CL"/>
        </w:rPr>
      </w:pPr>
    </w:p>
    <w:p w14:paraId="66B8E507" w14:textId="23347532" w:rsidR="00D26124" w:rsidRPr="00D26124" w:rsidRDefault="00D26124" w:rsidP="006C550E">
      <w:pPr>
        <w:pStyle w:val="Prrafodelista"/>
        <w:numPr>
          <w:ilvl w:val="0"/>
          <w:numId w:val="14"/>
        </w:numPr>
        <w:ind w:hanging="720"/>
        <w:jc w:val="both"/>
        <w:rPr>
          <w:rFonts w:ascii="DejaVu Serif" w:hAnsi="DejaVu Serif"/>
          <w:b/>
          <w:sz w:val="20"/>
          <w:szCs w:val="20"/>
          <w:lang w:val="es-CL"/>
        </w:rPr>
      </w:pPr>
      <w:r w:rsidRPr="00D26124">
        <w:rPr>
          <w:rFonts w:ascii="DejaVu Serif" w:hAnsi="DejaVu Serif"/>
          <w:b/>
          <w:sz w:val="20"/>
          <w:szCs w:val="20"/>
          <w:lang w:val="es-CL"/>
        </w:rPr>
        <w:t>Acceso a la información pública: fortalecimiento de la democracia</w:t>
      </w:r>
    </w:p>
    <w:p w14:paraId="5E372312" w14:textId="77777777" w:rsidR="00D26124" w:rsidRDefault="00D26124" w:rsidP="00C21635">
      <w:pPr>
        <w:spacing w:after="0"/>
        <w:jc w:val="both"/>
        <w:rPr>
          <w:rFonts w:ascii="DejaVu Serif" w:hAnsi="DejaVu Serif"/>
          <w:sz w:val="20"/>
          <w:szCs w:val="20"/>
          <w:lang w:val="es-CL"/>
        </w:rPr>
      </w:pPr>
      <w:r w:rsidRPr="00414E56">
        <w:rPr>
          <w:rFonts w:ascii="DejaVu Serif" w:hAnsi="DejaVu Serif"/>
          <w:sz w:val="20"/>
          <w:szCs w:val="20"/>
          <w:lang w:val="es-CL"/>
        </w:rPr>
        <w:t xml:space="preserve">En 2003, la Asamblea General aprobó una resolución (AG/RES. 1932 (XXXIII-O/03)) tendiente a reafirmar que toda persona tiene la libertad de buscar, recibir, acceder y difundir informaciones y que el acceso a la información pública es un requisito indispensable para el funcionamiento mismo de la democracia. Asimismo, se reitera que </w:t>
      </w:r>
    </w:p>
    <w:p w14:paraId="7C67FC28" w14:textId="77777777" w:rsidR="00C21635" w:rsidRPr="00414E56" w:rsidRDefault="00C21635" w:rsidP="00C21635">
      <w:pPr>
        <w:spacing w:after="0"/>
        <w:jc w:val="both"/>
        <w:rPr>
          <w:rFonts w:ascii="DejaVu Serif" w:hAnsi="DejaVu Serif"/>
          <w:sz w:val="20"/>
          <w:szCs w:val="20"/>
          <w:lang w:val="es-CL"/>
        </w:rPr>
      </w:pPr>
    </w:p>
    <w:p w14:paraId="0449481A" w14:textId="77777777" w:rsidR="00D26124" w:rsidRDefault="00D26124" w:rsidP="00C21635">
      <w:pPr>
        <w:spacing w:after="0"/>
        <w:ind w:left="567"/>
        <w:jc w:val="both"/>
        <w:rPr>
          <w:lang w:val="es-CL"/>
        </w:rPr>
      </w:pPr>
      <w:r w:rsidRPr="00414E56">
        <w:rPr>
          <w:rFonts w:ascii="DejaVu Serif" w:hAnsi="DejaVu Serif"/>
          <w:sz w:val="20"/>
          <w:szCs w:val="20"/>
          <w:lang w:val="es-CL"/>
        </w:rPr>
        <w:t>[</w:t>
      </w:r>
      <w:proofErr w:type="gramStart"/>
      <w:r w:rsidRPr="00414E56">
        <w:rPr>
          <w:rFonts w:ascii="DejaVu Serif" w:hAnsi="DejaVu Serif"/>
          <w:sz w:val="20"/>
          <w:szCs w:val="20"/>
          <w:lang w:val="es-CL"/>
        </w:rPr>
        <w:t>l]</w:t>
      </w:r>
      <w:proofErr w:type="gramEnd"/>
      <w:r w:rsidRPr="00414E56">
        <w:rPr>
          <w:rFonts w:ascii="DejaVu Serif" w:hAnsi="DejaVu Serif"/>
          <w:sz w:val="20"/>
          <w:szCs w:val="20"/>
          <w:lang w:val="es-CL"/>
        </w:rPr>
        <w:t xml:space="preserve">os Estados tienen la obligación de respetar y hacer respetar el acceso a la información pública a todas las personas y </w:t>
      </w:r>
      <w:r w:rsidRPr="00414E56">
        <w:rPr>
          <w:rFonts w:ascii="DejaVu Serif" w:hAnsi="DejaVu Serif"/>
          <w:sz w:val="20"/>
          <w:szCs w:val="20"/>
          <w:lang w:val="es-CL"/>
        </w:rPr>
        <w:t>promover la adopción de disposiciones legislativas o de otro carácter que fueren necesarias para asegurar su reconocimiento y aplicación efectiva</w:t>
      </w:r>
      <w:r w:rsidRPr="00414E56">
        <w:rPr>
          <w:lang w:val="es-CL"/>
        </w:rPr>
        <w:t>.</w:t>
      </w:r>
    </w:p>
    <w:p w14:paraId="0BBB88E2" w14:textId="77777777" w:rsidR="007C6833" w:rsidRDefault="007C6833" w:rsidP="00D26124">
      <w:pPr>
        <w:ind w:left="567"/>
        <w:jc w:val="both"/>
        <w:rPr>
          <w:lang w:val="es-CL"/>
        </w:rPr>
      </w:pPr>
    </w:p>
    <w:p w14:paraId="3C417D9F" w14:textId="77777777" w:rsidR="00C21635" w:rsidRDefault="00C21635" w:rsidP="00D26124">
      <w:pPr>
        <w:ind w:left="567"/>
        <w:jc w:val="both"/>
        <w:rPr>
          <w:lang w:val="es-CL"/>
        </w:rPr>
      </w:pPr>
    </w:p>
    <w:p w14:paraId="5CDEBCF0" w14:textId="673A8D9A" w:rsidR="00414E56" w:rsidRPr="00D26124" w:rsidRDefault="00414E56" w:rsidP="006C550E">
      <w:pPr>
        <w:pStyle w:val="Prrafodelista"/>
        <w:numPr>
          <w:ilvl w:val="0"/>
          <w:numId w:val="14"/>
        </w:numPr>
        <w:ind w:hanging="720"/>
        <w:jc w:val="both"/>
        <w:rPr>
          <w:rFonts w:ascii="DejaVu Serif" w:hAnsi="DejaVu Serif"/>
          <w:b/>
          <w:sz w:val="20"/>
          <w:szCs w:val="20"/>
          <w:lang w:val="es-CL"/>
        </w:rPr>
      </w:pPr>
      <w:r w:rsidRPr="00D26124">
        <w:rPr>
          <w:rFonts w:ascii="DejaVu Serif" w:hAnsi="DejaVu Serif"/>
          <w:b/>
          <w:sz w:val="20"/>
          <w:szCs w:val="20"/>
          <w:lang w:val="es-CL"/>
        </w:rPr>
        <w:t>Principios sobre el derecho de acceso a la información</w:t>
      </w:r>
    </w:p>
    <w:p w14:paraId="61BB373C" w14:textId="77777777" w:rsidR="00D26124" w:rsidRDefault="00414E56" w:rsidP="00C21635">
      <w:pPr>
        <w:spacing w:after="0"/>
        <w:jc w:val="both"/>
        <w:rPr>
          <w:rFonts w:ascii="DejaVu Serif" w:hAnsi="DejaVu Serif"/>
          <w:sz w:val="20"/>
          <w:szCs w:val="20"/>
          <w:lang w:val="es-CL"/>
        </w:rPr>
      </w:pPr>
      <w:r w:rsidRPr="00414E56">
        <w:rPr>
          <w:rFonts w:ascii="DejaVu Serif" w:hAnsi="DejaVu Serif"/>
          <w:sz w:val="20"/>
          <w:szCs w:val="20"/>
          <w:lang w:val="es-CL"/>
        </w:rPr>
        <w:t>En 2008, la Asamblea General de la OEA aprobó (CJI/RES. 147 (LXXIII-O/08)) los Principios sobre el derecho de acceso a la información.</w:t>
      </w:r>
      <w:r w:rsidR="00D26124">
        <w:rPr>
          <w:rFonts w:ascii="DejaVu Serif" w:hAnsi="DejaVu Serif"/>
          <w:sz w:val="20"/>
          <w:szCs w:val="20"/>
          <w:lang w:val="es-CL"/>
        </w:rPr>
        <w:t xml:space="preserve"> Éstos, </w:t>
      </w:r>
      <w:r w:rsidRPr="00414E56">
        <w:rPr>
          <w:rFonts w:ascii="DejaVu Serif" w:hAnsi="DejaVu Serif"/>
          <w:sz w:val="20"/>
          <w:szCs w:val="20"/>
          <w:lang w:val="es-CL"/>
        </w:rPr>
        <w:t xml:space="preserve">se encuentran interrelacionados y deben interpretarse de forma integral. </w:t>
      </w:r>
    </w:p>
    <w:p w14:paraId="33587B1F" w14:textId="77777777" w:rsidR="00C21635" w:rsidRDefault="00C21635" w:rsidP="00C21635">
      <w:pPr>
        <w:spacing w:after="0"/>
        <w:jc w:val="both"/>
        <w:rPr>
          <w:rFonts w:ascii="DejaVu Serif" w:hAnsi="DejaVu Serif"/>
          <w:sz w:val="20"/>
          <w:szCs w:val="20"/>
          <w:lang w:val="es-CL"/>
        </w:rPr>
      </w:pPr>
    </w:p>
    <w:p w14:paraId="4F4F1777" w14:textId="389A39BF" w:rsidR="00414E56" w:rsidRDefault="00414E56" w:rsidP="00C21635">
      <w:pPr>
        <w:spacing w:after="0"/>
        <w:jc w:val="both"/>
        <w:rPr>
          <w:rFonts w:ascii="DejaVu Serif" w:hAnsi="DejaVu Serif"/>
          <w:sz w:val="20"/>
          <w:szCs w:val="20"/>
          <w:lang w:val="es-CL"/>
        </w:rPr>
      </w:pPr>
      <w:r w:rsidRPr="00414E56">
        <w:rPr>
          <w:rFonts w:ascii="DejaVu Serif" w:hAnsi="DejaVu Serif"/>
          <w:sz w:val="20"/>
          <w:szCs w:val="20"/>
          <w:lang w:val="es-CL"/>
        </w:rPr>
        <w:t xml:space="preserve">De acuerdo </w:t>
      </w:r>
      <w:r w:rsidR="00D26124">
        <w:rPr>
          <w:rFonts w:ascii="DejaVu Serif" w:hAnsi="DejaVu Serif"/>
          <w:sz w:val="20"/>
          <w:szCs w:val="20"/>
          <w:lang w:val="es-CL"/>
        </w:rPr>
        <w:t>a</w:t>
      </w:r>
      <w:r w:rsidRPr="00414E56">
        <w:rPr>
          <w:rFonts w:ascii="DejaVu Serif" w:hAnsi="DejaVu Serif"/>
          <w:sz w:val="20"/>
          <w:szCs w:val="20"/>
          <w:lang w:val="es-CL"/>
        </w:rPr>
        <w:t xml:space="preserve">l N° 1 </w:t>
      </w:r>
      <w:r w:rsidR="00D26124">
        <w:rPr>
          <w:rFonts w:ascii="DejaVu Serif" w:hAnsi="DejaVu Serif"/>
          <w:sz w:val="20"/>
          <w:szCs w:val="20"/>
          <w:lang w:val="es-CL"/>
        </w:rPr>
        <w:t xml:space="preserve">de los Principios, </w:t>
      </w:r>
      <w:r w:rsidRPr="00414E56">
        <w:rPr>
          <w:rFonts w:ascii="DejaVu Serif" w:hAnsi="DejaVu Serif"/>
          <w:sz w:val="20"/>
          <w:szCs w:val="20"/>
          <w:lang w:val="es-CL"/>
        </w:rPr>
        <w:t xml:space="preserve">“toda información es accesible en principio”. </w:t>
      </w:r>
      <w:r w:rsidR="00D26124">
        <w:rPr>
          <w:rFonts w:ascii="DejaVu Serif" w:hAnsi="DejaVu Serif"/>
          <w:sz w:val="20"/>
          <w:szCs w:val="20"/>
          <w:lang w:val="es-CL"/>
        </w:rPr>
        <w:t>Así, s</w:t>
      </w:r>
      <w:r w:rsidRPr="00414E56">
        <w:rPr>
          <w:rFonts w:ascii="DejaVu Serif" w:hAnsi="DejaVu Serif"/>
          <w:sz w:val="20"/>
          <w:szCs w:val="20"/>
          <w:lang w:val="es-CL"/>
        </w:rPr>
        <w:t xml:space="preserve">e estimó que el acceso a la información es </w:t>
      </w:r>
    </w:p>
    <w:p w14:paraId="64783059" w14:textId="77777777" w:rsidR="00C21635" w:rsidRPr="00414E56" w:rsidRDefault="00C21635" w:rsidP="00C21635">
      <w:pPr>
        <w:spacing w:after="0"/>
        <w:jc w:val="both"/>
        <w:rPr>
          <w:rFonts w:ascii="DejaVu Serif" w:hAnsi="DejaVu Serif"/>
          <w:sz w:val="20"/>
          <w:szCs w:val="20"/>
          <w:lang w:val="es-CL"/>
        </w:rPr>
      </w:pPr>
    </w:p>
    <w:p w14:paraId="564B9A50" w14:textId="77777777" w:rsidR="00414E56" w:rsidRDefault="00414E56" w:rsidP="00C21635">
      <w:pPr>
        <w:spacing w:after="0"/>
        <w:ind w:left="567"/>
        <w:jc w:val="both"/>
        <w:rPr>
          <w:rFonts w:ascii="DejaVu Serif" w:hAnsi="DejaVu Serif"/>
          <w:sz w:val="20"/>
          <w:szCs w:val="20"/>
          <w:lang w:val="es-CL"/>
        </w:rPr>
      </w:pPr>
      <w:r w:rsidRPr="00414E56">
        <w:rPr>
          <w:rFonts w:ascii="DejaVu Serif" w:hAnsi="DejaVu Serif"/>
          <w:sz w:val="20"/>
          <w:szCs w:val="20"/>
          <w:lang w:val="es-CL"/>
        </w:rPr>
        <w:t>[</w:t>
      </w:r>
      <w:proofErr w:type="gramStart"/>
      <w:r w:rsidRPr="00414E56">
        <w:rPr>
          <w:rFonts w:ascii="DejaVu Serif" w:hAnsi="DejaVu Serif"/>
          <w:sz w:val="20"/>
          <w:szCs w:val="20"/>
          <w:lang w:val="es-CL"/>
        </w:rPr>
        <w:t>u]</w:t>
      </w:r>
      <w:proofErr w:type="gramEnd"/>
      <w:r w:rsidRPr="00414E56">
        <w:rPr>
          <w:rFonts w:ascii="DejaVu Serif" w:hAnsi="DejaVu Serif"/>
          <w:sz w:val="20"/>
          <w:szCs w:val="20"/>
          <w:lang w:val="es-CL"/>
        </w:rPr>
        <w:t xml:space="preserve">n derecho humano fundamental que establece que toda persona puede acceder a la información en posesión de órganos públicos, sujeto solo a un régimen limitado de excepciones, acordes con una sociedad democrática y proporcionales al interés que los justifica. Los Estados deben asegurar el respeto al derecho de acceso a la información, adoptando la legislación apropiada y poniendo en práctica los medios necesarios para su implementación. </w:t>
      </w:r>
    </w:p>
    <w:p w14:paraId="7D036A22" w14:textId="77777777" w:rsidR="00C21635" w:rsidRPr="00414E56" w:rsidRDefault="00C21635" w:rsidP="00C21635">
      <w:pPr>
        <w:spacing w:after="0"/>
        <w:ind w:left="567"/>
        <w:jc w:val="both"/>
        <w:rPr>
          <w:rFonts w:ascii="DejaVu Serif" w:hAnsi="DejaVu Serif"/>
          <w:sz w:val="20"/>
          <w:szCs w:val="20"/>
          <w:lang w:val="es-CL"/>
        </w:rPr>
      </w:pPr>
    </w:p>
    <w:p w14:paraId="1BA2509C" w14:textId="731A91D4" w:rsidR="00414E56" w:rsidRDefault="00414E56" w:rsidP="00C21635">
      <w:pPr>
        <w:spacing w:after="0"/>
        <w:jc w:val="both"/>
        <w:rPr>
          <w:rFonts w:ascii="DejaVu Serif" w:hAnsi="DejaVu Serif"/>
          <w:sz w:val="20"/>
          <w:szCs w:val="20"/>
          <w:lang w:val="es-CL"/>
        </w:rPr>
      </w:pPr>
      <w:r w:rsidRPr="00414E56">
        <w:rPr>
          <w:rFonts w:ascii="DejaVu Serif" w:hAnsi="DejaVu Serif"/>
          <w:sz w:val="20"/>
          <w:szCs w:val="20"/>
          <w:lang w:val="es-CL"/>
        </w:rPr>
        <w:t>En cuanto a qui</w:t>
      </w:r>
      <w:r w:rsidR="00D26124">
        <w:rPr>
          <w:rFonts w:ascii="DejaVu Serif" w:hAnsi="DejaVu Serif"/>
          <w:sz w:val="20"/>
          <w:szCs w:val="20"/>
          <w:lang w:val="es-CL"/>
        </w:rPr>
        <w:t>é</w:t>
      </w:r>
      <w:r w:rsidRPr="00414E56">
        <w:rPr>
          <w:rFonts w:ascii="DejaVu Serif" w:hAnsi="DejaVu Serif"/>
          <w:sz w:val="20"/>
          <w:szCs w:val="20"/>
          <w:lang w:val="es-CL"/>
        </w:rPr>
        <w:t xml:space="preserve">nes quedan sometidos al deber de dar acceso a la información, el N° 2 de los Principios dispone que </w:t>
      </w:r>
    </w:p>
    <w:p w14:paraId="776D9608" w14:textId="77777777" w:rsidR="00C21635" w:rsidRPr="00414E56" w:rsidRDefault="00C21635" w:rsidP="00C21635">
      <w:pPr>
        <w:spacing w:after="0"/>
        <w:jc w:val="both"/>
        <w:rPr>
          <w:rFonts w:ascii="DejaVu Serif" w:hAnsi="DejaVu Serif"/>
          <w:sz w:val="20"/>
          <w:szCs w:val="20"/>
          <w:lang w:val="es-CL"/>
        </w:rPr>
      </w:pPr>
    </w:p>
    <w:p w14:paraId="0ABA8B11" w14:textId="77777777" w:rsidR="00414E56" w:rsidRDefault="00414E56" w:rsidP="00C21635">
      <w:pPr>
        <w:spacing w:after="0"/>
        <w:ind w:left="567"/>
        <w:jc w:val="both"/>
        <w:rPr>
          <w:rFonts w:ascii="DejaVu Serif" w:hAnsi="DejaVu Serif"/>
          <w:sz w:val="20"/>
          <w:szCs w:val="20"/>
          <w:lang w:val="es-CL"/>
        </w:rPr>
      </w:pPr>
      <w:r w:rsidRPr="00414E56">
        <w:rPr>
          <w:rFonts w:ascii="DejaVu Serif" w:hAnsi="DejaVu Serif"/>
          <w:sz w:val="20"/>
          <w:szCs w:val="20"/>
          <w:lang w:val="es-CL"/>
        </w:rPr>
        <w:t xml:space="preserve">El derecho de acceso a la información se extiende a todos los órganos públicos en todos los niveles de gobierno, incluyendo a los pertenecientes al poder ejecutivo, al legislativo y al poder judicial, a los órganos creados por las constituciones o por otras leyes, 2 órganos de propiedad o controlados por el gobierno, y organizaciones que operan con fondos públicos o que desarrollan funciones públicas. </w:t>
      </w:r>
    </w:p>
    <w:p w14:paraId="4C1E0131" w14:textId="77777777" w:rsidR="00C21635" w:rsidRPr="00414E56" w:rsidRDefault="00C21635" w:rsidP="00C21635">
      <w:pPr>
        <w:spacing w:after="0"/>
        <w:ind w:left="567"/>
        <w:jc w:val="both"/>
        <w:rPr>
          <w:rFonts w:ascii="DejaVu Serif" w:hAnsi="DejaVu Serif"/>
          <w:sz w:val="20"/>
          <w:szCs w:val="20"/>
          <w:lang w:val="es-CL"/>
        </w:rPr>
      </w:pPr>
    </w:p>
    <w:p w14:paraId="0B42B3D0" w14:textId="77777777" w:rsidR="00414E56" w:rsidRDefault="00414E56" w:rsidP="00C21635">
      <w:pPr>
        <w:spacing w:after="0"/>
        <w:jc w:val="both"/>
        <w:rPr>
          <w:rFonts w:ascii="DejaVu Serif" w:hAnsi="DejaVu Serif"/>
          <w:sz w:val="20"/>
          <w:szCs w:val="20"/>
          <w:lang w:val="es-CL"/>
        </w:rPr>
      </w:pPr>
      <w:r w:rsidRPr="00414E56">
        <w:rPr>
          <w:rFonts w:ascii="DejaVu Serif" w:hAnsi="DejaVu Serif"/>
          <w:sz w:val="20"/>
          <w:szCs w:val="20"/>
          <w:lang w:val="es-CL"/>
        </w:rPr>
        <w:t xml:space="preserve">Por último, el N° 3 de los Principios en cuanto a que derechos incluye el acceso a la información, establece que es toda información significante, cuya definición debe ser amplia, incluyendo toda la que es controlada y archivada en cualquier formato o medio. </w:t>
      </w:r>
    </w:p>
    <w:p w14:paraId="0428C93E" w14:textId="77777777" w:rsidR="00830AE8" w:rsidRDefault="00830AE8" w:rsidP="00C21635">
      <w:pPr>
        <w:spacing w:after="0"/>
        <w:jc w:val="both"/>
        <w:rPr>
          <w:rFonts w:ascii="DejaVu Serif" w:hAnsi="DejaVu Serif"/>
          <w:sz w:val="20"/>
          <w:szCs w:val="20"/>
          <w:lang w:val="es-CL"/>
        </w:rPr>
      </w:pPr>
    </w:p>
    <w:p w14:paraId="2BBCF3F1" w14:textId="77777777" w:rsidR="00830AE8" w:rsidRDefault="00830AE8" w:rsidP="00C21635">
      <w:pPr>
        <w:spacing w:after="0"/>
        <w:jc w:val="both"/>
        <w:rPr>
          <w:rFonts w:ascii="DejaVu Serif" w:hAnsi="DejaVu Serif"/>
          <w:sz w:val="20"/>
          <w:szCs w:val="20"/>
          <w:lang w:val="es-CL"/>
        </w:rPr>
      </w:pPr>
    </w:p>
    <w:p w14:paraId="0AE722AB" w14:textId="77777777" w:rsidR="00830AE8" w:rsidRDefault="00830AE8" w:rsidP="00C21635">
      <w:pPr>
        <w:spacing w:after="0"/>
        <w:jc w:val="both"/>
        <w:rPr>
          <w:rFonts w:ascii="DejaVu Serif" w:hAnsi="DejaVu Serif"/>
          <w:sz w:val="20"/>
          <w:szCs w:val="20"/>
          <w:lang w:val="es-CL"/>
        </w:rPr>
      </w:pPr>
    </w:p>
    <w:p w14:paraId="5CEFE8D0" w14:textId="77777777" w:rsidR="00C21635" w:rsidRDefault="00C21635" w:rsidP="00C21635">
      <w:pPr>
        <w:spacing w:after="0"/>
        <w:jc w:val="both"/>
        <w:rPr>
          <w:rFonts w:ascii="DejaVu Serif" w:hAnsi="DejaVu Serif"/>
          <w:sz w:val="20"/>
          <w:szCs w:val="20"/>
          <w:lang w:val="es-CL"/>
        </w:rPr>
      </w:pPr>
    </w:p>
    <w:p w14:paraId="5ABBBD0A" w14:textId="0FD958B5" w:rsidR="00414E56" w:rsidRPr="006F1E40" w:rsidRDefault="006F1E40" w:rsidP="006F1E40">
      <w:pPr>
        <w:ind w:left="709" w:hanging="709"/>
        <w:jc w:val="both"/>
        <w:rPr>
          <w:lang w:val="es-CL"/>
        </w:rPr>
      </w:pPr>
      <w:r w:rsidRPr="006F1E40">
        <w:rPr>
          <w:rFonts w:ascii="DejaVu Serif" w:hAnsi="DejaVu Serif"/>
          <w:b/>
          <w:sz w:val="20"/>
          <w:szCs w:val="20"/>
          <w:lang w:val="es-CL"/>
        </w:rPr>
        <w:lastRenderedPageBreak/>
        <w:t>c.</w:t>
      </w:r>
      <w:r w:rsidRPr="006F1E40">
        <w:rPr>
          <w:lang w:val="es-CL"/>
        </w:rPr>
        <w:t xml:space="preserve"> </w:t>
      </w:r>
      <w:r>
        <w:rPr>
          <w:lang w:val="es-CL"/>
        </w:rPr>
        <w:tab/>
      </w:r>
      <w:r w:rsidR="00414E56" w:rsidRPr="006F1E40">
        <w:rPr>
          <w:rFonts w:ascii="DejaVu Serif" w:hAnsi="DejaVu Serif"/>
          <w:b/>
          <w:sz w:val="20"/>
          <w:szCs w:val="20"/>
          <w:lang w:val="es-CL"/>
        </w:rPr>
        <w:t>Programa Interamericano sobre Acceso a la Información Pública</w:t>
      </w:r>
      <w:r w:rsidR="00414E56" w:rsidRPr="006F1E40">
        <w:rPr>
          <w:lang w:val="es-CL"/>
        </w:rPr>
        <w:t xml:space="preserve"> </w:t>
      </w:r>
    </w:p>
    <w:p w14:paraId="26467D7F" w14:textId="733FB12A" w:rsidR="00414E56" w:rsidRPr="00414E56" w:rsidRDefault="00414E56" w:rsidP="00C21635">
      <w:pPr>
        <w:spacing w:after="0"/>
        <w:jc w:val="both"/>
        <w:rPr>
          <w:rFonts w:ascii="DejaVu Serif" w:hAnsi="DejaVu Serif"/>
          <w:sz w:val="20"/>
          <w:lang w:val="es-CL"/>
        </w:rPr>
      </w:pPr>
      <w:r w:rsidRPr="00414E56">
        <w:rPr>
          <w:rFonts w:ascii="DejaVu Serif" w:hAnsi="DejaVu Serif"/>
          <w:sz w:val="20"/>
          <w:szCs w:val="20"/>
          <w:lang w:val="es-CL"/>
        </w:rPr>
        <w:t>Por último, en 2016, la Asamblea General aprobó (Resolución AG/RES.2885 (XLVI</w:t>
      </w:r>
      <w:r w:rsidRPr="00414E56">
        <w:rPr>
          <w:rFonts w:ascii="DejaVu Serif" w:hAnsi="DejaVu Serif" w:cs="Cambria Math"/>
          <w:sz w:val="20"/>
          <w:szCs w:val="20"/>
          <w:lang w:val="es-CL"/>
        </w:rPr>
        <w:t>‐</w:t>
      </w:r>
      <w:r w:rsidRPr="00414E56">
        <w:rPr>
          <w:rFonts w:ascii="DejaVu Serif" w:hAnsi="DejaVu Serif"/>
          <w:sz w:val="20"/>
          <w:szCs w:val="20"/>
          <w:lang w:val="es-CL"/>
        </w:rPr>
        <w:t xml:space="preserve">O/16) el Programa Interamericano sobre Acceso a la Información Pública, en el cual </w:t>
      </w:r>
      <w:r w:rsidR="00D26124">
        <w:rPr>
          <w:rFonts w:ascii="DejaVu Serif" w:hAnsi="DejaVu Serif"/>
          <w:sz w:val="20"/>
          <w:szCs w:val="20"/>
          <w:lang w:val="es-CL"/>
        </w:rPr>
        <w:t xml:space="preserve">se </w:t>
      </w:r>
      <w:r w:rsidRPr="00414E56">
        <w:rPr>
          <w:rFonts w:ascii="DejaVu Serif" w:hAnsi="DejaVu Serif"/>
          <w:sz w:val="20"/>
          <w:szCs w:val="20"/>
          <w:lang w:val="es-CL"/>
        </w:rPr>
        <w:t>recuerda que en la materia existe el llamado principio de máxima publicidad, el que es consustancial al acceso a la información pública.</w:t>
      </w:r>
      <w:r w:rsidR="007C6833" w:rsidRPr="00414E56">
        <w:rPr>
          <w:rFonts w:ascii="DejaVu Serif" w:hAnsi="DejaVu Serif"/>
          <w:sz w:val="20"/>
          <w:lang w:val="es-CL"/>
        </w:rPr>
        <w:t xml:space="preserve"> </w:t>
      </w:r>
    </w:p>
    <w:p w14:paraId="758BE320" w14:textId="77777777" w:rsidR="00EC5A26" w:rsidRDefault="00EC5A26" w:rsidP="0027566F">
      <w:pPr>
        <w:autoSpaceDE w:val="0"/>
        <w:autoSpaceDN w:val="0"/>
        <w:adjustRightInd w:val="0"/>
        <w:spacing w:after="0"/>
        <w:jc w:val="both"/>
        <w:rPr>
          <w:rFonts w:ascii="DejaVu Serif" w:hAnsi="DejaVu Serif" w:cs="DejaVu Sans"/>
          <w:color w:val="auto"/>
          <w:sz w:val="20"/>
          <w:szCs w:val="20"/>
          <w:lang w:val="es-CL"/>
        </w:rPr>
      </w:pPr>
    </w:p>
    <w:p w14:paraId="053F74E7" w14:textId="77777777" w:rsidR="00830AE8" w:rsidRDefault="00830AE8" w:rsidP="0027566F">
      <w:pPr>
        <w:autoSpaceDE w:val="0"/>
        <w:autoSpaceDN w:val="0"/>
        <w:adjustRightInd w:val="0"/>
        <w:spacing w:after="0"/>
        <w:jc w:val="both"/>
        <w:rPr>
          <w:rFonts w:ascii="DejaVu Serif" w:hAnsi="DejaVu Serif" w:cs="DejaVu Sans"/>
          <w:color w:val="auto"/>
          <w:sz w:val="20"/>
          <w:szCs w:val="20"/>
          <w:lang w:val="es-CL"/>
        </w:rPr>
      </w:pPr>
    </w:p>
    <w:p w14:paraId="6E747FF5" w14:textId="77777777" w:rsidR="00830AE8" w:rsidRDefault="00830AE8" w:rsidP="0027566F">
      <w:pPr>
        <w:autoSpaceDE w:val="0"/>
        <w:autoSpaceDN w:val="0"/>
        <w:adjustRightInd w:val="0"/>
        <w:spacing w:after="0"/>
        <w:jc w:val="both"/>
        <w:rPr>
          <w:rFonts w:ascii="DejaVu Serif" w:hAnsi="DejaVu Serif" w:cs="DejaVu Sans"/>
          <w:color w:val="auto"/>
          <w:sz w:val="20"/>
          <w:szCs w:val="20"/>
          <w:lang w:val="es-CL"/>
        </w:rPr>
      </w:pPr>
    </w:p>
    <w:p w14:paraId="065DC322" w14:textId="77777777" w:rsidR="00830AE8" w:rsidRDefault="00830AE8" w:rsidP="0027566F">
      <w:pPr>
        <w:autoSpaceDE w:val="0"/>
        <w:autoSpaceDN w:val="0"/>
        <w:adjustRightInd w:val="0"/>
        <w:spacing w:after="0"/>
        <w:jc w:val="both"/>
        <w:rPr>
          <w:rFonts w:ascii="DejaVu Serif" w:hAnsi="DejaVu Serif" w:cs="DejaVu Sans"/>
          <w:color w:val="auto"/>
          <w:sz w:val="20"/>
          <w:szCs w:val="20"/>
          <w:lang w:val="es-CL"/>
        </w:rPr>
      </w:pPr>
    </w:p>
    <w:p w14:paraId="56139CD5" w14:textId="77777777" w:rsidR="00830AE8" w:rsidRDefault="00830AE8" w:rsidP="0027566F">
      <w:pPr>
        <w:autoSpaceDE w:val="0"/>
        <w:autoSpaceDN w:val="0"/>
        <w:adjustRightInd w:val="0"/>
        <w:spacing w:after="0"/>
        <w:jc w:val="both"/>
        <w:rPr>
          <w:rFonts w:ascii="DejaVu Serif" w:hAnsi="DejaVu Serif" w:cs="DejaVu Sans"/>
          <w:color w:val="auto"/>
          <w:sz w:val="20"/>
          <w:szCs w:val="20"/>
          <w:lang w:val="es-CL"/>
        </w:rPr>
      </w:pPr>
    </w:p>
    <w:p w14:paraId="49747B09" w14:textId="77777777" w:rsidR="00830AE8" w:rsidRDefault="00830AE8" w:rsidP="0027566F">
      <w:pPr>
        <w:autoSpaceDE w:val="0"/>
        <w:autoSpaceDN w:val="0"/>
        <w:adjustRightInd w:val="0"/>
        <w:spacing w:after="0"/>
        <w:jc w:val="both"/>
        <w:rPr>
          <w:rFonts w:ascii="DejaVu Serif" w:hAnsi="DejaVu Serif" w:cs="DejaVu Sans"/>
          <w:color w:val="auto"/>
          <w:sz w:val="20"/>
          <w:szCs w:val="20"/>
          <w:lang w:val="es-CL"/>
        </w:rPr>
      </w:pPr>
    </w:p>
    <w:p w14:paraId="14A0D214" w14:textId="77777777" w:rsidR="00830AE8" w:rsidRDefault="00830AE8" w:rsidP="0027566F">
      <w:pPr>
        <w:autoSpaceDE w:val="0"/>
        <w:autoSpaceDN w:val="0"/>
        <w:adjustRightInd w:val="0"/>
        <w:spacing w:after="0"/>
        <w:jc w:val="both"/>
        <w:rPr>
          <w:rFonts w:ascii="DejaVu Serif" w:hAnsi="DejaVu Serif" w:cs="DejaVu Sans"/>
          <w:color w:val="auto"/>
          <w:sz w:val="20"/>
          <w:szCs w:val="20"/>
          <w:lang w:val="es-CL"/>
        </w:rPr>
      </w:pPr>
    </w:p>
    <w:p w14:paraId="78A7F984" w14:textId="77777777" w:rsidR="00830AE8" w:rsidRDefault="00830AE8" w:rsidP="0027566F">
      <w:pPr>
        <w:autoSpaceDE w:val="0"/>
        <w:autoSpaceDN w:val="0"/>
        <w:adjustRightInd w:val="0"/>
        <w:spacing w:after="0"/>
        <w:jc w:val="both"/>
        <w:rPr>
          <w:rFonts w:ascii="DejaVu Serif" w:hAnsi="DejaVu Serif" w:cs="DejaVu Sans"/>
          <w:color w:val="auto"/>
          <w:sz w:val="20"/>
          <w:szCs w:val="20"/>
          <w:lang w:val="es-CL"/>
        </w:rPr>
      </w:pPr>
    </w:p>
    <w:p w14:paraId="5F1C3C41" w14:textId="77777777" w:rsidR="00830AE8" w:rsidRDefault="00830AE8" w:rsidP="0027566F">
      <w:pPr>
        <w:autoSpaceDE w:val="0"/>
        <w:autoSpaceDN w:val="0"/>
        <w:adjustRightInd w:val="0"/>
        <w:spacing w:after="0"/>
        <w:jc w:val="both"/>
        <w:rPr>
          <w:rFonts w:ascii="DejaVu Serif" w:hAnsi="DejaVu Serif" w:cs="DejaVu Sans"/>
          <w:color w:val="auto"/>
          <w:sz w:val="20"/>
          <w:szCs w:val="20"/>
          <w:lang w:val="es-CL"/>
        </w:rPr>
      </w:pPr>
    </w:p>
    <w:p w14:paraId="59407AD4" w14:textId="77777777" w:rsidR="00830AE8" w:rsidRDefault="00830AE8" w:rsidP="0027566F">
      <w:pPr>
        <w:autoSpaceDE w:val="0"/>
        <w:autoSpaceDN w:val="0"/>
        <w:adjustRightInd w:val="0"/>
        <w:spacing w:after="0"/>
        <w:jc w:val="both"/>
        <w:rPr>
          <w:rFonts w:ascii="DejaVu Serif" w:hAnsi="DejaVu Serif" w:cs="DejaVu Sans"/>
          <w:color w:val="auto"/>
          <w:sz w:val="20"/>
          <w:szCs w:val="20"/>
          <w:lang w:val="es-CL"/>
        </w:rPr>
      </w:pPr>
    </w:p>
    <w:p w14:paraId="2C61FF0D" w14:textId="77777777" w:rsidR="00CC34F7" w:rsidRPr="002E373D" w:rsidRDefault="00CC34F7" w:rsidP="0027566F">
      <w:pPr>
        <w:autoSpaceDE w:val="0"/>
        <w:autoSpaceDN w:val="0"/>
        <w:adjustRightInd w:val="0"/>
        <w:spacing w:after="0"/>
        <w:jc w:val="both"/>
        <w:rPr>
          <w:rFonts w:ascii="DejaVu Serif" w:hAnsi="DejaVu Serif" w:cs="DejaVu Sans"/>
          <w:i/>
          <w:color w:val="auto"/>
          <w:sz w:val="20"/>
          <w:szCs w:val="20"/>
          <w:lang w:val="es-CL"/>
        </w:rPr>
      </w:pPr>
    </w:p>
    <w:p w14:paraId="675BED67" w14:textId="77777777" w:rsidR="0027566F" w:rsidRPr="002E373D" w:rsidRDefault="0027566F" w:rsidP="0027566F">
      <w:pPr>
        <w:autoSpaceDE w:val="0"/>
        <w:autoSpaceDN w:val="0"/>
        <w:adjustRightInd w:val="0"/>
        <w:spacing w:after="0"/>
        <w:jc w:val="both"/>
        <w:rPr>
          <w:rFonts w:ascii="DejaVu Serif" w:hAnsi="DejaVu Serif" w:cs="DejaVu Sans"/>
          <w:i/>
          <w:color w:val="auto"/>
          <w:lang w:val="es-CL"/>
        </w:rPr>
        <w:sectPr w:rsidR="0027566F" w:rsidRPr="002E373D" w:rsidSect="00234582">
          <w:endnotePr>
            <w:numFmt w:val="decimal"/>
          </w:endnotePr>
          <w:type w:val="continuous"/>
          <w:pgSz w:w="12240" w:h="15840" w:code="1"/>
          <w:pgMar w:top="851" w:right="851" w:bottom="851" w:left="851" w:header="360" w:footer="720" w:gutter="0"/>
          <w:cols w:num="2" w:space="504"/>
          <w:titlePg/>
          <w:docGrid w:linePitch="360"/>
        </w:sectPr>
      </w:pPr>
    </w:p>
    <w:p w14:paraId="0B4240F1" w14:textId="77777777" w:rsidR="007E702E" w:rsidRPr="00B84B1E" w:rsidRDefault="007E702E" w:rsidP="00EC5A26">
      <w:pPr>
        <w:autoSpaceDE w:val="0"/>
        <w:autoSpaceDN w:val="0"/>
        <w:adjustRightInd w:val="0"/>
        <w:spacing w:after="0"/>
        <w:jc w:val="both"/>
        <w:rPr>
          <w:rFonts w:ascii="DejaVu Serif" w:hAnsi="DejaVu Serif" w:cs="DejaVu Sans"/>
          <w:b/>
          <w:color w:val="auto"/>
          <w:sz w:val="24"/>
          <w:szCs w:val="24"/>
          <w:lang w:val="es-CL"/>
        </w:rPr>
      </w:pPr>
      <w:r w:rsidRPr="00B84B1E">
        <w:rPr>
          <w:rFonts w:ascii="DejaVu Serif" w:hAnsi="DejaVu Serif" w:cs="DejaVu Sans"/>
          <w:b/>
          <w:color w:val="auto"/>
          <w:sz w:val="24"/>
          <w:szCs w:val="24"/>
          <w:lang w:val="es-CL"/>
        </w:rPr>
        <w:t>Referencias</w:t>
      </w:r>
    </w:p>
    <w:p w14:paraId="35E70C63" w14:textId="77777777" w:rsidR="00971F06" w:rsidRDefault="00971F06" w:rsidP="00971F06">
      <w:pPr>
        <w:autoSpaceDE w:val="0"/>
        <w:autoSpaceDN w:val="0"/>
        <w:adjustRightInd w:val="0"/>
        <w:spacing w:after="0"/>
        <w:jc w:val="both"/>
        <w:rPr>
          <w:rFonts w:ascii="DejaVu Serif" w:hAnsi="DejaVu Serif" w:cs="DejaVu Sans"/>
          <w:b/>
          <w:color w:val="auto"/>
          <w:sz w:val="24"/>
          <w:szCs w:val="24"/>
          <w:lang w:val="es-CL"/>
        </w:rPr>
      </w:pPr>
    </w:p>
    <w:p w14:paraId="07C22171" w14:textId="13E154A5" w:rsidR="007E702E" w:rsidRPr="00971F06" w:rsidRDefault="00971F06" w:rsidP="00C21635">
      <w:pPr>
        <w:autoSpaceDE w:val="0"/>
        <w:autoSpaceDN w:val="0"/>
        <w:adjustRightInd w:val="0"/>
        <w:spacing w:after="0"/>
        <w:ind w:left="425" w:hanging="425"/>
        <w:jc w:val="both"/>
        <w:rPr>
          <w:rFonts w:ascii="DejaVu Serif" w:hAnsi="DejaVu Serif" w:cs="DejaVu Sans"/>
          <w:color w:val="auto"/>
          <w:sz w:val="20"/>
          <w:szCs w:val="20"/>
          <w:lang w:val="es-CL"/>
        </w:rPr>
      </w:pPr>
      <w:r w:rsidRPr="00971F06">
        <w:rPr>
          <w:rFonts w:ascii="DejaVu Serif" w:hAnsi="DejaVu Serif" w:cs="DejaVu Sans"/>
          <w:color w:val="auto"/>
          <w:sz w:val="20"/>
          <w:szCs w:val="20"/>
          <w:lang w:val="es-CL"/>
        </w:rPr>
        <w:t xml:space="preserve">OEA. (s/f). </w:t>
      </w:r>
      <w:r w:rsidRPr="003149B7">
        <w:rPr>
          <w:rFonts w:ascii="DejaVu Serif" w:hAnsi="DejaVu Serif" w:cs="DejaVu Sans"/>
          <w:i/>
          <w:color w:val="auto"/>
          <w:sz w:val="20"/>
          <w:szCs w:val="20"/>
          <w:lang w:val="es-CL"/>
        </w:rPr>
        <w:t>Acceso a la Información. Instrumentos de referencia</w:t>
      </w:r>
      <w:r w:rsidRPr="00971F06">
        <w:rPr>
          <w:rFonts w:ascii="DejaVu Serif" w:hAnsi="DejaVu Serif" w:cs="DejaVu Sans"/>
          <w:color w:val="auto"/>
          <w:sz w:val="20"/>
          <w:szCs w:val="20"/>
          <w:lang w:val="es-CL"/>
        </w:rPr>
        <w:t xml:space="preserve">. Disponible en: </w:t>
      </w:r>
      <w:hyperlink r:id="rId15" w:history="1">
        <w:r w:rsidRPr="00971F06">
          <w:rPr>
            <w:rStyle w:val="Hipervnculo"/>
            <w:rFonts w:ascii="DejaVu Serif" w:hAnsi="DejaVu Serif"/>
            <w:sz w:val="20"/>
            <w:szCs w:val="20"/>
            <w:lang w:val="es-CL"/>
          </w:rPr>
          <w:t>http://www.oas.org/es/sla/ddi/acceso_informacion_documentos_referencia.asp</w:t>
        </w:r>
      </w:hyperlink>
      <w:r w:rsidRPr="00971F06">
        <w:rPr>
          <w:rFonts w:ascii="DejaVu Serif" w:hAnsi="DejaVu Serif"/>
          <w:sz w:val="20"/>
          <w:szCs w:val="20"/>
          <w:lang w:val="es-CL"/>
        </w:rPr>
        <w:t xml:space="preserve"> (</w:t>
      </w:r>
      <w:r w:rsidR="009974A8">
        <w:rPr>
          <w:rFonts w:ascii="DejaVu Serif" w:hAnsi="DejaVu Serif"/>
          <w:sz w:val="20"/>
          <w:szCs w:val="20"/>
          <w:lang w:val="es-CL"/>
        </w:rPr>
        <w:t>a</w:t>
      </w:r>
      <w:r w:rsidRPr="00971F06">
        <w:rPr>
          <w:rFonts w:ascii="DejaVu Serif" w:hAnsi="DejaVu Serif"/>
          <w:sz w:val="20"/>
          <w:szCs w:val="20"/>
          <w:lang w:val="es-CL"/>
        </w:rPr>
        <w:t>bril, 2017).</w:t>
      </w:r>
    </w:p>
    <w:p w14:paraId="6A4E8D96" w14:textId="77777777" w:rsidR="009974A8" w:rsidRPr="002C01EE" w:rsidRDefault="009974A8" w:rsidP="00C21635">
      <w:pPr>
        <w:pStyle w:val="NormalWeb"/>
        <w:spacing w:after="0" w:line="240" w:lineRule="auto"/>
        <w:ind w:left="425" w:right="397" w:hanging="425"/>
        <w:rPr>
          <w:rFonts w:ascii="DejaVu Serif" w:hAnsi="DejaVu Serif"/>
          <w:bCs/>
          <w:color w:val="000000"/>
          <w:sz w:val="20"/>
          <w:szCs w:val="20"/>
          <w:lang w:val="es-CL"/>
        </w:rPr>
      </w:pPr>
      <w:r w:rsidRPr="002C01EE">
        <w:rPr>
          <w:rFonts w:ascii="DejaVu Serif" w:hAnsi="DejaVu Serif" w:cs="DejaVu Sans"/>
          <w:sz w:val="20"/>
          <w:szCs w:val="20"/>
          <w:lang w:val="es-CL"/>
        </w:rPr>
        <w:t xml:space="preserve">OEA. (2003). </w:t>
      </w:r>
      <w:r w:rsidRPr="002C01EE">
        <w:rPr>
          <w:rFonts w:ascii="DejaVu Serif" w:hAnsi="DejaVu Serif"/>
          <w:bCs/>
          <w:color w:val="000000"/>
          <w:sz w:val="20"/>
          <w:szCs w:val="20"/>
          <w:lang w:val="es-CL"/>
        </w:rPr>
        <w:t>Acceso a la información pública: fortalecimiento de la democracia.</w:t>
      </w:r>
    </w:p>
    <w:p w14:paraId="37EF4EB6" w14:textId="77777777" w:rsidR="009974A8" w:rsidRPr="002C01EE" w:rsidRDefault="009974A8" w:rsidP="00C21635">
      <w:pPr>
        <w:pStyle w:val="NormalWeb"/>
        <w:spacing w:after="0" w:line="240" w:lineRule="auto"/>
        <w:ind w:left="425" w:right="397" w:hanging="425"/>
        <w:rPr>
          <w:rFonts w:ascii="DejaVu Serif" w:hAnsi="DejaVu Serif"/>
          <w:sz w:val="20"/>
          <w:szCs w:val="20"/>
          <w:lang w:val="es-CL"/>
        </w:rPr>
      </w:pPr>
      <w:r w:rsidRPr="002C01EE">
        <w:rPr>
          <w:rFonts w:ascii="DejaVu Serif" w:hAnsi="DejaVu Serif"/>
          <w:sz w:val="20"/>
          <w:szCs w:val="20"/>
          <w:lang w:val="es-CL"/>
        </w:rPr>
        <w:t>OEA. (2008). Principios sobre el derecho de acceso a la información.</w:t>
      </w:r>
    </w:p>
    <w:p w14:paraId="0A5CBB92" w14:textId="31E54EBE" w:rsidR="002C01EE" w:rsidRPr="002C01EE" w:rsidRDefault="002C01EE" w:rsidP="00C21635">
      <w:pPr>
        <w:pStyle w:val="NormalWeb"/>
        <w:spacing w:after="0" w:line="240" w:lineRule="auto"/>
        <w:ind w:left="425" w:right="397" w:hanging="425"/>
        <w:rPr>
          <w:rFonts w:ascii="DejaVu Serif" w:hAnsi="DejaVu Serif"/>
          <w:sz w:val="20"/>
          <w:szCs w:val="20"/>
          <w:lang w:val="es-CL"/>
        </w:rPr>
      </w:pPr>
      <w:r w:rsidRPr="002C01EE">
        <w:rPr>
          <w:rFonts w:ascii="DejaVu Serif" w:hAnsi="DejaVu Serif"/>
          <w:sz w:val="20"/>
          <w:szCs w:val="20"/>
          <w:lang w:val="es-CL"/>
        </w:rPr>
        <w:t>OEA. (2009). Acceso a la información pública: fortalecimiento de la democracia.</w:t>
      </w:r>
    </w:p>
    <w:p w14:paraId="52FFC3C2" w14:textId="22948B29" w:rsidR="007E702E" w:rsidRPr="002C01EE" w:rsidRDefault="00B84B1E" w:rsidP="00C21635">
      <w:pPr>
        <w:pStyle w:val="NormalWeb"/>
        <w:spacing w:after="0" w:line="240" w:lineRule="auto"/>
        <w:ind w:left="425" w:right="397" w:hanging="425"/>
        <w:rPr>
          <w:rFonts w:ascii="DejaVu Serif" w:hAnsi="DejaVu Serif" w:cs="DejaVu Sans"/>
          <w:sz w:val="20"/>
          <w:szCs w:val="20"/>
          <w:lang w:val="es-CL"/>
        </w:rPr>
      </w:pPr>
      <w:r w:rsidRPr="002C01EE">
        <w:rPr>
          <w:rFonts w:ascii="DejaVu Serif" w:hAnsi="DejaVu Serif" w:cs="DejaVu Sans"/>
          <w:sz w:val="20"/>
          <w:szCs w:val="20"/>
          <w:lang w:val="es-CL"/>
        </w:rPr>
        <w:t>OEA. (2010). Ley Modelo Interamericana sobre Acceso a la Información Pública.</w:t>
      </w:r>
    </w:p>
    <w:p w14:paraId="3A74369F" w14:textId="2CCF45EB" w:rsidR="00885AA6" w:rsidRPr="00971F06" w:rsidRDefault="00B84B1E" w:rsidP="00C21635">
      <w:pPr>
        <w:pStyle w:val="NormalWeb"/>
        <w:spacing w:after="0" w:line="240" w:lineRule="auto"/>
        <w:ind w:left="425" w:right="397" w:hanging="425"/>
        <w:rPr>
          <w:rFonts w:ascii="DejaVu Serif" w:hAnsi="DejaVu Serif"/>
          <w:sz w:val="20"/>
          <w:szCs w:val="20"/>
          <w:lang w:val="es-CL"/>
        </w:rPr>
      </w:pPr>
      <w:r w:rsidRPr="00971F06">
        <w:rPr>
          <w:rFonts w:ascii="DejaVu Serif" w:hAnsi="DejaVu Serif"/>
          <w:sz w:val="20"/>
          <w:szCs w:val="20"/>
          <w:lang w:val="es-CL"/>
        </w:rPr>
        <w:t>OEA. (2016).  Programa Interamericano sobre Acceso a la Información Pública</w:t>
      </w:r>
      <w:r w:rsidR="00885AA6" w:rsidRPr="00971F06">
        <w:rPr>
          <w:rFonts w:ascii="DejaVu Serif" w:hAnsi="DejaVu Serif"/>
          <w:sz w:val="20"/>
          <w:szCs w:val="20"/>
          <w:lang w:val="es-CL"/>
        </w:rPr>
        <w:t>.</w:t>
      </w:r>
    </w:p>
    <w:p w14:paraId="4C3E149E" w14:textId="350DDAC7" w:rsidR="00885AA6" w:rsidRDefault="00885AA6" w:rsidP="00C21635">
      <w:pPr>
        <w:spacing w:after="0"/>
        <w:ind w:left="425" w:hanging="425"/>
        <w:jc w:val="both"/>
        <w:rPr>
          <w:rFonts w:ascii="DejaVu Serif" w:hAnsi="DejaVu Serif"/>
          <w:sz w:val="20"/>
          <w:szCs w:val="20"/>
          <w:lang w:val="es-CL"/>
        </w:rPr>
      </w:pPr>
      <w:r w:rsidRPr="009974A8">
        <w:rPr>
          <w:rFonts w:ascii="DejaVu Serif" w:hAnsi="DejaVu Serif"/>
          <w:sz w:val="20"/>
          <w:szCs w:val="20"/>
          <w:lang w:val="es-CL"/>
        </w:rPr>
        <w:t>Zapata, Patricio</w:t>
      </w:r>
      <w:r w:rsidR="009974A8">
        <w:rPr>
          <w:rFonts w:ascii="DejaVu Serif" w:hAnsi="DejaVu Serif"/>
          <w:sz w:val="20"/>
          <w:szCs w:val="20"/>
          <w:lang w:val="es-CL"/>
        </w:rPr>
        <w:t>.</w:t>
      </w:r>
      <w:r w:rsidRPr="009974A8">
        <w:rPr>
          <w:rFonts w:ascii="DejaVu Serif" w:hAnsi="DejaVu Serif"/>
          <w:sz w:val="20"/>
          <w:szCs w:val="20"/>
          <w:lang w:val="es-CL"/>
        </w:rPr>
        <w:t xml:space="preserve"> (2014). </w:t>
      </w:r>
      <w:r w:rsidRPr="009974A8">
        <w:rPr>
          <w:rFonts w:ascii="DejaVu Serif" w:hAnsi="DejaVu Serif"/>
          <w:i/>
          <w:sz w:val="20"/>
          <w:szCs w:val="20"/>
          <w:lang w:val="es-CL"/>
        </w:rPr>
        <w:t>Primer Informe de la Comisión de Constitución, Legislación, Justicia y Reglamento del Senado, en Proyecto de Ley que otorga reconocimiento constitucional al principio de transparencia y al derecho de acceso a la información pública</w:t>
      </w:r>
      <w:r w:rsidRPr="009974A8">
        <w:rPr>
          <w:rFonts w:ascii="DejaVu Serif" w:hAnsi="DejaVu Serif"/>
          <w:sz w:val="20"/>
          <w:szCs w:val="20"/>
          <w:lang w:val="es-CL"/>
        </w:rPr>
        <w:t xml:space="preserve"> (Boletín N° 8.805-07).</w:t>
      </w:r>
    </w:p>
    <w:p w14:paraId="1B82AB45" w14:textId="77777777" w:rsidR="00C21635" w:rsidRPr="009974A8" w:rsidRDefault="00C21635" w:rsidP="00C21635">
      <w:pPr>
        <w:spacing w:after="0"/>
        <w:ind w:left="425" w:hanging="425"/>
        <w:jc w:val="both"/>
        <w:rPr>
          <w:rFonts w:ascii="DejaVu Serif" w:hAnsi="DejaVu Serif"/>
          <w:sz w:val="20"/>
          <w:szCs w:val="20"/>
          <w:lang w:val="es-CL"/>
        </w:rPr>
      </w:pPr>
    </w:p>
    <w:p w14:paraId="797F3B00" w14:textId="3905C125" w:rsidR="00490DA9" w:rsidRPr="00B84B1E" w:rsidRDefault="00490DA9" w:rsidP="00EC5A26">
      <w:pPr>
        <w:autoSpaceDE w:val="0"/>
        <w:autoSpaceDN w:val="0"/>
        <w:adjustRightInd w:val="0"/>
        <w:spacing w:after="0"/>
        <w:jc w:val="both"/>
        <w:rPr>
          <w:rFonts w:ascii="DejaVu Sans" w:eastAsia="Times New Roman"/>
          <w:color w:val="auto"/>
          <w:kern w:val="1"/>
          <w:sz w:val="20"/>
          <w:szCs w:val="24"/>
          <w:lang w:val="es-CL"/>
        </w:rPr>
      </w:pPr>
      <w:r w:rsidRPr="00B84B1E">
        <w:rPr>
          <w:rFonts w:ascii="DejaVu Serif" w:eastAsia="Times New Roman"/>
          <w:b/>
          <w:color w:val="auto"/>
          <w:kern w:val="1"/>
          <w:sz w:val="24"/>
          <w:szCs w:val="24"/>
          <w:lang w:val="es-CL"/>
        </w:rPr>
        <w:t>Textos normativos</w:t>
      </w:r>
    </w:p>
    <w:p w14:paraId="21075B0C" w14:textId="77777777" w:rsidR="00490DA9" w:rsidRPr="00B84B1E" w:rsidRDefault="00490DA9" w:rsidP="00CA3C99">
      <w:pPr>
        <w:autoSpaceDE w:val="0"/>
        <w:autoSpaceDN w:val="0"/>
        <w:adjustRightInd w:val="0"/>
        <w:spacing w:after="0"/>
        <w:ind w:left="480" w:hanging="480"/>
        <w:jc w:val="both"/>
        <w:rPr>
          <w:rFonts w:ascii="DejaVu Serif"/>
          <w:color w:val="auto"/>
          <w:sz w:val="20"/>
          <w:szCs w:val="20"/>
          <w:lang w:val="es-CL"/>
        </w:rPr>
      </w:pPr>
    </w:p>
    <w:p w14:paraId="37C74449" w14:textId="1C964DCD" w:rsidR="007D54B6" w:rsidRPr="00B84B1E" w:rsidRDefault="00B84B1E" w:rsidP="006C550E">
      <w:pPr>
        <w:pStyle w:val="Prrafodelista"/>
        <w:numPr>
          <w:ilvl w:val="0"/>
          <w:numId w:val="5"/>
        </w:numPr>
        <w:spacing w:after="0"/>
        <w:ind w:left="425" w:hanging="425"/>
        <w:jc w:val="both"/>
        <w:rPr>
          <w:rFonts w:ascii="DejaVu Serif" w:eastAsia="Times New Roman" w:hAnsi="DejaVu Serif" w:cs="Lucida Grande"/>
          <w:color w:val="auto"/>
          <w:kern w:val="36"/>
          <w:sz w:val="20"/>
          <w:szCs w:val="20"/>
          <w:lang w:val="es-CL" w:eastAsia="es-CL"/>
        </w:rPr>
      </w:pPr>
      <w:r w:rsidRPr="00B84B1E">
        <w:rPr>
          <w:rFonts w:ascii="DejaVu Serif" w:eastAsia="Times New Roman" w:hAnsi="DejaVu Serif" w:cs="Courier New"/>
          <w:color w:val="auto"/>
          <w:sz w:val="20"/>
          <w:szCs w:val="20"/>
          <w:lang w:val="es-CL" w:eastAsia="es-CL"/>
        </w:rPr>
        <w:t>Constitución Política de la República.</w:t>
      </w:r>
    </w:p>
    <w:p w14:paraId="27A268AC" w14:textId="4FB3F1AC" w:rsidR="00B84B1E" w:rsidRPr="00B84B1E" w:rsidRDefault="00B84B1E" w:rsidP="006C550E">
      <w:pPr>
        <w:pStyle w:val="Prrafodelista"/>
        <w:numPr>
          <w:ilvl w:val="0"/>
          <w:numId w:val="5"/>
        </w:numPr>
        <w:spacing w:after="0"/>
        <w:ind w:left="425" w:hanging="425"/>
        <w:jc w:val="both"/>
        <w:rPr>
          <w:rFonts w:ascii="DejaVu Serif" w:eastAsia="Times New Roman" w:hAnsi="DejaVu Serif" w:cs="Lucida Grande"/>
          <w:color w:val="auto"/>
          <w:kern w:val="36"/>
          <w:sz w:val="20"/>
          <w:szCs w:val="20"/>
          <w:lang w:val="es-CL" w:eastAsia="es-CL"/>
        </w:rPr>
      </w:pPr>
      <w:r w:rsidRPr="00B84B1E">
        <w:rPr>
          <w:rFonts w:ascii="DejaVu Serif" w:hAnsi="DejaVu Serif"/>
          <w:sz w:val="20"/>
          <w:szCs w:val="20"/>
          <w:lang w:val="es-CL"/>
        </w:rPr>
        <w:t>Declaración Universal de Derechos Humanos.</w:t>
      </w:r>
    </w:p>
    <w:p w14:paraId="2738F8F7" w14:textId="15C3EE09" w:rsidR="00B84B1E" w:rsidRPr="00B84B1E" w:rsidRDefault="00B84B1E" w:rsidP="006C550E">
      <w:pPr>
        <w:pStyle w:val="Prrafodelista"/>
        <w:numPr>
          <w:ilvl w:val="0"/>
          <w:numId w:val="5"/>
        </w:numPr>
        <w:spacing w:after="0"/>
        <w:ind w:left="425" w:hanging="425"/>
        <w:jc w:val="both"/>
        <w:rPr>
          <w:rFonts w:ascii="DejaVu Serif" w:eastAsia="Times New Roman" w:hAnsi="DejaVu Serif" w:cs="Lucida Grande"/>
          <w:color w:val="auto"/>
          <w:kern w:val="36"/>
          <w:sz w:val="20"/>
          <w:szCs w:val="20"/>
          <w:lang w:val="es-CL" w:eastAsia="es-CL"/>
        </w:rPr>
      </w:pPr>
      <w:r w:rsidRPr="00B84B1E">
        <w:rPr>
          <w:rFonts w:ascii="DejaVu Serif" w:hAnsi="DejaVu Serif"/>
          <w:sz w:val="20"/>
          <w:szCs w:val="20"/>
          <w:lang w:val="es-CL"/>
        </w:rPr>
        <w:t>Pacto Internacional de Derechos Civiles y Políticos.</w:t>
      </w:r>
    </w:p>
    <w:p w14:paraId="6CA1C9B4" w14:textId="5CDB8B8A" w:rsidR="00B84B1E" w:rsidRPr="00B84B1E" w:rsidRDefault="00B84B1E" w:rsidP="006C550E">
      <w:pPr>
        <w:pStyle w:val="Prrafodelista"/>
        <w:numPr>
          <w:ilvl w:val="0"/>
          <w:numId w:val="5"/>
        </w:numPr>
        <w:spacing w:after="0"/>
        <w:ind w:left="425" w:hanging="425"/>
        <w:jc w:val="both"/>
        <w:rPr>
          <w:rFonts w:ascii="DejaVu Serif" w:eastAsia="Times New Roman" w:hAnsi="DejaVu Serif" w:cs="Lucida Grande"/>
          <w:color w:val="auto"/>
          <w:kern w:val="36"/>
          <w:sz w:val="20"/>
          <w:szCs w:val="20"/>
          <w:lang w:val="es-CL" w:eastAsia="es-CL"/>
        </w:rPr>
      </w:pPr>
      <w:r w:rsidRPr="00B84B1E">
        <w:rPr>
          <w:rFonts w:ascii="DejaVu Serif" w:hAnsi="DejaVu Serif"/>
          <w:sz w:val="20"/>
          <w:szCs w:val="20"/>
          <w:lang w:val="es-CL"/>
        </w:rPr>
        <w:t>Convención de las Naciones Unidas contra la Corrupción.</w:t>
      </w:r>
    </w:p>
    <w:p w14:paraId="5207B422" w14:textId="2C170A66" w:rsidR="00B84B1E" w:rsidRPr="006F1E40" w:rsidRDefault="00B84B1E" w:rsidP="006C550E">
      <w:pPr>
        <w:pStyle w:val="Prrafodelista"/>
        <w:numPr>
          <w:ilvl w:val="0"/>
          <w:numId w:val="5"/>
        </w:numPr>
        <w:spacing w:after="0"/>
        <w:ind w:left="425" w:hanging="425"/>
        <w:jc w:val="both"/>
        <w:rPr>
          <w:rFonts w:ascii="DejaVu Serif" w:eastAsia="Times New Roman" w:hAnsi="DejaVu Serif" w:cs="Lucida Grande"/>
          <w:color w:val="auto"/>
          <w:kern w:val="36"/>
          <w:sz w:val="20"/>
          <w:szCs w:val="20"/>
          <w:lang w:val="es-CL" w:eastAsia="es-CL"/>
        </w:rPr>
      </w:pPr>
      <w:r w:rsidRPr="00B84B1E">
        <w:rPr>
          <w:rFonts w:ascii="DejaVu Serif" w:hAnsi="DejaVu Serif" w:cs="Tahoma"/>
          <w:bCs/>
          <w:color w:val="000000"/>
          <w:sz w:val="20"/>
          <w:szCs w:val="20"/>
          <w:lang w:val="es-CL"/>
        </w:rPr>
        <w:t>Convención Interamericana de Derechos Humanos.</w:t>
      </w:r>
    </w:p>
    <w:p w14:paraId="59816643" w14:textId="2FAFF9DC" w:rsidR="006F1E40" w:rsidRPr="00B84B1E" w:rsidRDefault="006F1E40" w:rsidP="006C550E">
      <w:pPr>
        <w:pStyle w:val="Prrafodelista"/>
        <w:numPr>
          <w:ilvl w:val="0"/>
          <w:numId w:val="5"/>
        </w:numPr>
        <w:spacing w:after="0"/>
        <w:ind w:left="425" w:hanging="425"/>
        <w:jc w:val="both"/>
        <w:rPr>
          <w:rFonts w:ascii="DejaVu Serif" w:eastAsia="Times New Roman" w:hAnsi="DejaVu Serif" w:cs="Lucida Grande"/>
          <w:color w:val="auto"/>
          <w:kern w:val="36"/>
          <w:sz w:val="20"/>
          <w:szCs w:val="20"/>
          <w:lang w:val="es-CL" w:eastAsia="es-CL"/>
        </w:rPr>
      </w:pPr>
      <w:r w:rsidRPr="00414E56">
        <w:rPr>
          <w:rFonts w:ascii="DejaVu Serif" w:hAnsi="DejaVu Serif" w:cs="Tahoma"/>
          <w:bCs/>
          <w:sz w:val="20"/>
          <w:szCs w:val="20"/>
          <w:lang w:val="es-CL"/>
        </w:rPr>
        <w:t>Ca</w:t>
      </w:r>
      <w:r>
        <w:rPr>
          <w:rFonts w:ascii="DejaVu Serif" w:hAnsi="DejaVu Serif" w:cs="Tahoma"/>
          <w:bCs/>
          <w:sz w:val="20"/>
          <w:szCs w:val="20"/>
          <w:lang w:val="es-CL"/>
        </w:rPr>
        <w:t>rta Democrática Interamericana.</w:t>
      </w:r>
    </w:p>
    <w:p w14:paraId="7F7AFBB3" w14:textId="205E9117" w:rsidR="00B84B1E" w:rsidRPr="00B84B1E" w:rsidRDefault="00B84B1E" w:rsidP="006C550E">
      <w:pPr>
        <w:pStyle w:val="Prrafodelista"/>
        <w:numPr>
          <w:ilvl w:val="0"/>
          <w:numId w:val="5"/>
        </w:numPr>
        <w:spacing w:after="0"/>
        <w:ind w:left="425" w:hanging="425"/>
        <w:jc w:val="both"/>
        <w:rPr>
          <w:rFonts w:ascii="DejaVu Serif" w:eastAsia="Times New Roman" w:hAnsi="DejaVu Serif" w:cs="Lucida Grande"/>
          <w:color w:val="auto"/>
          <w:kern w:val="36"/>
          <w:sz w:val="20"/>
          <w:szCs w:val="20"/>
          <w:lang w:val="es-CL" w:eastAsia="es-CL"/>
        </w:rPr>
      </w:pPr>
      <w:r w:rsidRPr="00B84B1E">
        <w:rPr>
          <w:rFonts w:ascii="DejaVu Serif" w:hAnsi="DejaVu Serif" w:cs="Tahoma"/>
          <w:bCs/>
          <w:color w:val="000000"/>
          <w:sz w:val="20"/>
          <w:szCs w:val="20"/>
          <w:lang w:val="es-CL"/>
        </w:rPr>
        <w:t>Ley N° 20.285 sobre acceso a la información pública.</w:t>
      </w:r>
    </w:p>
    <w:p w14:paraId="2E7D84DB" w14:textId="05DE0A8D" w:rsidR="00B84B1E" w:rsidRPr="00B84B1E" w:rsidRDefault="00B84B1E" w:rsidP="006C550E">
      <w:pPr>
        <w:pStyle w:val="Prrafodelista"/>
        <w:numPr>
          <w:ilvl w:val="0"/>
          <w:numId w:val="5"/>
        </w:numPr>
        <w:spacing w:after="0"/>
        <w:ind w:left="425" w:hanging="425"/>
        <w:jc w:val="both"/>
        <w:rPr>
          <w:rFonts w:ascii="DejaVu Serif" w:eastAsia="Times New Roman" w:hAnsi="DejaVu Serif" w:cs="Lucida Grande"/>
          <w:color w:val="auto"/>
          <w:kern w:val="36"/>
          <w:sz w:val="20"/>
          <w:szCs w:val="20"/>
          <w:lang w:val="es-CL" w:eastAsia="es-CL"/>
        </w:rPr>
      </w:pPr>
      <w:r w:rsidRPr="00B84B1E">
        <w:rPr>
          <w:rFonts w:ascii="DejaVu Serif" w:hAnsi="DejaVu Serif" w:cs="Tahoma"/>
          <w:bCs/>
          <w:color w:val="000000"/>
          <w:sz w:val="20"/>
          <w:szCs w:val="20"/>
          <w:lang w:val="es-CL"/>
        </w:rPr>
        <w:t xml:space="preserve">Ley N° 19.300 </w:t>
      </w:r>
      <w:r w:rsidRPr="00B84B1E">
        <w:rPr>
          <w:rFonts w:ascii="DejaVu Serif" w:hAnsi="DejaVu Serif"/>
          <w:sz w:val="20"/>
          <w:lang w:val="es-CL"/>
        </w:rPr>
        <w:t>sobre bases generales del medio ambiente.</w:t>
      </w:r>
    </w:p>
    <w:p w14:paraId="5852001F" w14:textId="77777777" w:rsidR="00B84B1E" w:rsidRDefault="00B84B1E" w:rsidP="00B84B1E">
      <w:pPr>
        <w:pStyle w:val="Prrafodelista"/>
        <w:ind w:left="426"/>
        <w:jc w:val="both"/>
        <w:rPr>
          <w:rFonts w:ascii="DejaVu Serif" w:eastAsia="Times New Roman" w:hAnsi="DejaVu Serif" w:cs="Lucida Grande"/>
          <w:i/>
          <w:color w:val="auto"/>
          <w:kern w:val="36"/>
          <w:sz w:val="20"/>
          <w:szCs w:val="20"/>
          <w:lang w:val="es-CL" w:eastAsia="es-CL"/>
        </w:rPr>
      </w:pPr>
    </w:p>
    <w:p w14:paraId="12B4038B" w14:textId="1CDCD675" w:rsidR="00CA3C99" w:rsidRDefault="00B84B1E" w:rsidP="00B84B1E">
      <w:pPr>
        <w:jc w:val="both"/>
        <w:rPr>
          <w:rFonts w:ascii="DejaVu Serif" w:hAnsi="DejaVu Serif" w:cs="DejaVu Sans"/>
          <w:b/>
          <w:color w:val="auto"/>
          <w:sz w:val="24"/>
          <w:szCs w:val="24"/>
          <w:lang w:val="es-CL"/>
        </w:rPr>
      </w:pPr>
      <w:r w:rsidRPr="00B84B1E">
        <w:rPr>
          <w:rFonts w:ascii="DejaVu Serif" w:hAnsi="DejaVu Serif" w:cs="DejaVu Sans"/>
          <w:b/>
          <w:color w:val="auto"/>
          <w:sz w:val="24"/>
          <w:szCs w:val="24"/>
          <w:lang w:val="es-CL"/>
        </w:rPr>
        <w:t>Sentencias</w:t>
      </w:r>
    </w:p>
    <w:p w14:paraId="3B6B6086" w14:textId="17BC21A9" w:rsidR="00B84B1E" w:rsidRPr="00A227BB" w:rsidRDefault="00B84B1E" w:rsidP="00C21635">
      <w:pPr>
        <w:spacing w:after="0"/>
        <w:ind w:left="426" w:hanging="426"/>
        <w:jc w:val="both"/>
        <w:rPr>
          <w:rFonts w:ascii="DejaVu Serif" w:eastAsia="EB Garamond" w:hAnsi="DejaVu Serif"/>
          <w:color w:val="auto"/>
          <w:sz w:val="20"/>
          <w:szCs w:val="20"/>
          <w:lang w:val="es-CL"/>
        </w:rPr>
      </w:pPr>
      <w:r w:rsidRPr="00A227BB">
        <w:rPr>
          <w:rFonts w:ascii="DejaVu Serif" w:hAnsi="DejaVu Serif" w:cs="DejaVu Sans"/>
          <w:color w:val="auto"/>
          <w:sz w:val="20"/>
          <w:szCs w:val="20"/>
          <w:lang w:val="es-CL"/>
        </w:rPr>
        <w:t>Tribunal Constitucional</w:t>
      </w:r>
      <w:r w:rsidR="009974A8">
        <w:rPr>
          <w:rFonts w:ascii="DejaVu Serif" w:hAnsi="DejaVu Serif" w:cs="DejaVu Sans"/>
          <w:color w:val="auto"/>
          <w:sz w:val="20"/>
          <w:szCs w:val="20"/>
          <w:lang w:val="es-CL"/>
        </w:rPr>
        <w:t xml:space="preserve"> (s/f). </w:t>
      </w:r>
      <w:r w:rsidR="009974A8" w:rsidRPr="009974A8">
        <w:rPr>
          <w:rFonts w:ascii="DejaVu Serif" w:hAnsi="DejaVu Serif" w:cs="DejaVu Sans"/>
          <w:i/>
          <w:color w:val="auto"/>
          <w:sz w:val="20"/>
          <w:szCs w:val="20"/>
          <w:lang w:val="es-CL"/>
        </w:rPr>
        <w:t>S</w:t>
      </w:r>
      <w:r w:rsidRPr="009974A8">
        <w:rPr>
          <w:rFonts w:ascii="DejaVu Serif" w:hAnsi="DejaVu Serif" w:cs="DejaVu Sans"/>
          <w:i/>
          <w:color w:val="auto"/>
          <w:sz w:val="20"/>
          <w:szCs w:val="20"/>
          <w:lang w:val="es-CL"/>
        </w:rPr>
        <w:t xml:space="preserve">entencias de las causas roles </w:t>
      </w:r>
      <w:r w:rsidRPr="009974A8">
        <w:rPr>
          <w:rFonts w:ascii="DejaVu Serif" w:eastAsia="EB Garamond" w:hAnsi="DejaVu Serif"/>
          <w:i/>
          <w:color w:val="auto"/>
          <w:sz w:val="20"/>
          <w:szCs w:val="20"/>
          <w:lang w:val="es-CL"/>
        </w:rPr>
        <w:t>1.990-2011, 2.153-2011, 2.246-2012, 2.379-2012, 2.351-2012, 2.907-16 y 3.111-2016</w:t>
      </w:r>
      <w:r w:rsidR="00A227BB" w:rsidRPr="00A227BB">
        <w:rPr>
          <w:rFonts w:ascii="DejaVu Serif" w:eastAsia="EB Garamond" w:hAnsi="DejaVu Serif"/>
          <w:color w:val="auto"/>
          <w:sz w:val="20"/>
          <w:szCs w:val="20"/>
          <w:lang w:val="es-CL"/>
        </w:rPr>
        <w:t xml:space="preserve">. Pueden ser consultadas </w:t>
      </w:r>
      <w:r w:rsidR="00D04F72" w:rsidRPr="00A227BB">
        <w:rPr>
          <w:rFonts w:ascii="DejaVu Serif" w:hAnsi="DejaVu Serif"/>
          <w:sz w:val="20"/>
          <w:szCs w:val="20"/>
          <w:lang w:val="es-CL"/>
        </w:rPr>
        <w:t>en el sitio web del Tribunal Constitucional, disponible</w:t>
      </w:r>
      <w:r w:rsidR="00D04F72" w:rsidRPr="00A227BB">
        <w:rPr>
          <w:rFonts w:ascii="DejaVu Serif" w:hAnsi="DejaVu Serif"/>
          <w:color w:val="000000" w:themeColor="text1"/>
          <w:sz w:val="20"/>
          <w:szCs w:val="20"/>
          <w:lang w:val="es-CL"/>
        </w:rPr>
        <w:t xml:space="preserve"> en: http://www.tribunalconstitucional.cl/wp/expedientes</w:t>
      </w:r>
      <w:r w:rsidR="00D04F72" w:rsidRPr="00A227BB">
        <w:rPr>
          <w:rFonts w:ascii="DejaVu Serif" w:hAnsi="DejaVu Serif"/>
          <w:sz w:val="20"/>
          <w:szCs w:val="20"/>
          <w:lang w:val="es-CL"/>
        </w:rPr>
        <w:t xml:space="preserve"> (abril, 2017).</w:t>
      </w:r>
    </w:p>
    <w:p w14:paraId="0F8B8E33" w14:textId="0A4B8A82" w:rsidR="00B84B1E" w:rsidRPr="00A227BB" w:rsidRDefault="00B84B1E" w:rsidP="00C21635">
      <w:pPr>
        <w:spacing w:after="0"/>
        <w:jc w:val="both"/>
        <w:rPr>
          <w:rFonts w:ascii="DejaVu Serif" w:eastAsia="EB Garamond" w:hAnsi="DejaVu Serif"/>
          <w:color w:val="auto"/>
          <w:sz w:val="20"/>
          <w:szCs w:val="20"/>
          <w:lang w:val="es-CL"/>
        </w:rPr>
      </w:pPr>
      <w:r w:rsidRPr="00A227BB">
        <w:rPr>
          <w:rFonts w:ascii="DejaVu Serif" w:eastAsia="EB Garamond" w:hAnsi="DejaVu Serif"/>
          <w:color w:val="auto"/>
          <w:sz w:val="20"/>
          <w:szCs w:val="20"/>
          <w:lang w:val="es-CL"/>
        </w:rPr>
        <w:t>Corte Interamericana de Derechos Humanos:</w:t>
      </w:r>
    </w:p>
    <w:p w14:paraId="7421DA1D" w14:textId="474AE1C3" w:rsidR="00D04F72" w:rsidRPr="007C6833" w:rsidRDefault="00B84B1E" w:rsidP="006C550E">
      <w:pPr>
        <w:pStyle w:val="Prrafodelista"/>
        <w:numPr>
          <w:ilvl w:val="0"/>
          <w:numId w:val="15"/>
        </w:numPr>
        <w:spacing w:after="0"/>
        <w:ind w:left="426" w:hanging="426"/>
        <w:jc w:val="both"/>
        <w:rPr>
          <w:rFonts w:ascii="DejaVu Serif" w:hAnsi="DejaVu Serif"/>
          <w:sz w:val="20"/>
          <w:szCs w:val="20"/>
          <w:lang w:val="es-CL"/>
        </w:rPr>
      </w:pPr>
      <w:r w:rsidRPr="007C6833">
        <w:rPr>
          <w:rFonts w:ascii="DejaVu Serif" w:hAnsi="DejaVu Serif"/>
          <w:sz w:val="20"/>
          <w:szCs w:val="20"/>
          <w:lang w:val="es-CL"/>
        </w:rPr>
        <w:t>Caso Claude Reyes y otros vs. Chile</w:t>
      </w:r>
      <w:r w:rsidR="00D04F72" w:rsidRPr="007C6833">
        <w:rPr>
          <w:rFonts w:ascii="DejaVu Serif" w:hAnsi="DejaVu Serif"/>
          <w:sz w:val="20"/>
          <w:szCs w:val="20"/>
          <w:lang w:val="es-CL"/>
        </w:rPr>
        <w:t>. Ficha técnica del caso</w:t>
      </w:r>
      <w:r w:rsidR="009974A8" w:rsidRPr="007C6833">
        <w:rPr>
          <w:rFonts w:ascii="DejaVu Serif" w:hAnsi="DejaVu Serif"/>
          <w:sz w:val="20"/>
          <w:szCs w:val="20"/>
          <w:lang w:val="es-CL"/>
        </w:rPr>
        <w:t>,</w:t>
      </w:r>
      <w:r w:rsidR="00D04F72" w:rsidRPr="007C6833">
        <w:rPr>
          <w:rFonts w:ascii="DejaVu Serif" w:hAnsi="DejaVu Serif"/>
          <w:sz w:val="20"/>
          <w:szCs w:val="20"/>
          <w:lang w:val="es-CL"/>
        </w:rPr>
        <w:t xml:space="preserve"> disponible en: </w:t>
      </w:r>
      <w:hyperlink r:id="rId16" w:history="1">
        <w:r w:rsidR="00D04F72" w:rsidRPr="007C6833">
          <w:rPr>
            <w:rStyle w:val="Hipervnculo"/>
            <w:rFonts w:ascii="DejaVu Serif" w:hAnsi="DejaVu Serif"/>
            <w:sz w:val="20"/>
            <w:szCs w:val="20"/>
            <w:lang w:val="es-CL"/>
          </w:rPr>
          <w:t>http://www.corteidh.or.cr/cf/jurisprudencia2/ficha_tecnica.cfm?nId_Ficha=332&amp;lang=es</w:t>
        </w:r>
      </w:hyperlink>
      <w:r w:rsidR="00D04F72" w:rsidRPr="007C6833">
        <w:rPr>
          <w:rFonts w:ascii="DejaVu Serif" w:hAnsi="DejaVu Serif"/>
          <w:sz w:val="20"/>
          <w:szCs w:val="20"/>
          <w:lang w:val="es-CL"/>
        </w:rPr>
        <w:t xml:space="preserve"> (abril, 2017).</w:t>
      </w:r>
    </w:p>
    <w:p w14:paraId="1C35C30E" w14:textId="586EED30" w:rsidR="00D04F72" w:rsidRPr="007C6833" w:rsidRDefault="00B84B1E" w:rsidP="006C550E">
      <w:pPr>
        <w:pStyle w:val="Prrafodelista"/>
        <w:numPr>
          <w:ilvl w:val="0"/>
          <w:numId w:val="15"/>
        </w:numPr>
        <w:spacing w:after="0"/>
        <w:ind w:left="426" w:hanging="426"/>
        <w:jc w:val="both"/>
        <w:rPr>
          <w:rFonts w:ascii="DejaVu Serif" w:hAnsi="DejaVu Serif"/>
          <w:sz w:val="20"/>
          <w:szCs w:val="20"/>
          <w:lang w:val="es-CL"/>
        </w:rPr>
      </w:pPr>
      <w:r w:rsidRPr="007C6833">
        <w:rPr>
          <w:rFonts w:ascii="DejaVu Serif" w:hAnsi="DejaVu Serif"/>
          <w:sz w:val="20"/>
          <w:szCs w:val="20"/>
          <w:lang w:val="es-CL"/>
        </w:rPr>
        <w:t xml:space="preserve">Caso Gomes </w:t>
      </w:r>
      <w:proofErr w:type="spellStart"/>
      <w:r w:rsidRPr="007C6833">
        <w:rPr>
          <w:rFonts w:ascii="DejaVu Serif" w:hAnsi="DejaVu Serif"/>
          <w:sz w:val="20"/>
          <w:szCs w:val="20"/>
          <w:lang w:val="es-CL"/>
        </w:rPr>
        <w:t>Lund</w:t>
      </w:r>
      <w:proofErr w:type="spellEnd"/>
      <w:r w:rsidRPr="007C6833">
        <w:rPr>
          <w:rFonts w:ascii="DejaVu Serif" w:hAnsi="DejaVu Serif"/>
          <w:sz w:val="20"/>
          <w:szCs w:val="20"/>
          <w:lang w:val="es-CL"/>
        </w:rPr>
        <w:t xml:space="preserve"> (Guerrilla de </w:t>
      </w:r>
      <w:proofErr w:type="spellStart"/>
      <w:r w:rsidRPr="007C6833">
        <w:rPr>
          <w:rFonts w:ascii="DejaVu Serif" w:hAnsi="DejaVu Serif"/>
          <w:sz w:val="20"/>
          <w:szCs w:val="20"/>
          <w:lang w:val="es-CL"/>
        </w:rPr>
        <w:t>Araguaia</w:t>
      </w:r>
      <w:proofErr w:type="spellEnd"/>
      <w:r w:rsidRPr="007C6833">
        <w:rPr>
          <w:rFonts w:ascii="DejaVu Serif" w:hAnsi="DejaVu Serif"/>
          <w:sz w:val="20"/>
          <w:szCs w:val="20"/>
          <w:lang w:val="es-CL"/>
        </w:rPr>
        <w:t>) y otros vs. Brasil</w:t>
      </w:r>
      <w:r w:rsidR="00D04F72" w:rsidRPr="007C6833">
        <w:rPr>
          <w:rFonts w:ascii="DejaVu Serif" w:hAnsi="DejaVu Serif"/>
          <w:sz w:val="20"/>
          <w:szCs w:val="20"/>
          <w:lang w:val="es-CL"/>
        </w:rPr>
        <w:t xml:space="preserve">. Ficha técnica del caso, disponible en: </w:t>
      </w:r>
      <w:hyperlink r:id="rId17" w:history="1">
        <w:r w:rsidR="00D04F72" w:rsidRPr="007C6833">
          <w:rPr>
            <w:rStyle w:val="Hipervnculo"/>
            <w:rFonts w:ascii="DejaVu Serif" w:hAnsi="DejaVu Serif"/>
            <w:sz w:val="20"/>
            <w:szCs w:val="20"/>
            <w:lang w:val="es-CL"/>
          </w:rPr>
          <w:t>http://www.corteidh.or.cr/cf/jurisprudencia2/ficha_tecnica.cfm?lang=es&amp;nId_Ficha=342</w:t>
        </w:r>
      </w:hyperlink>
      <w:r w:rsidR="00D04F72" w:rsidRPr="007C6833">
        <w:rPr>
          <w:rFonts w:ascii="DejaVu Serif" w:hAnsi="DejaVu Serif"/>
          <w:sz w:val="20"/>
          <w:szCs w:val="20"/>
          <w:lang w:val="es-CL"/>
        </w:rPr>
        <w:t xml:space="preserve"> (</w:t>
      </w:r>
      <w:r w:rsidR="009974A8" w:rsidRPr="007C6833">
        <w:rPr>
          <w:rFonts w:ascii="DejaVu Serif" w:hAnsi="DejaVu Serif"/>
          <w:sz w:val="20"/>
          <w:szCs w:val="20"/>
          <w:lang w:val="es-CL"/>
        </w:rPr>
        <w:t>a</w:t>
      </w:r>
      <w:r w:rsidR="00D04F72" w:rsidRPr="007C6833">
        <w:rPr>
          <w:rFonts w:ascii="DejaVu Serif" w:hAnsi="DejaVu Serif"/>
          <w:sz w:val="20"/>
          <w:szCs w:val="20"/>
          <w:lang w:val="es-CL"/>
        </w:rPr>
        <w:t>bril, 2017).</w:t>
      </w:r>
    </w:p>
    <w:p w14:paraId="7CF6BF11" w14:textId="22E09160" w:rsidR="00B84B1E" w:rsidRPr="00A227BB" w:rsidRDefault="00B84B1E" w:rsidP="00D04F72">
      <w:pPr>
        <w:pStyle w:val="NormalWeb"/>
        <w:shd w:val="clear" w:color="auto" w:fill="FFFFFF"/>
        <w:spacing w:after="0" w:line="240" w:lineRule="auto"/>
        <w:ind w:left="720"/>
        <w:textAlignment w:val="top"/>
        <w:rPr>
          <w:rStyle w:val="Textoennegrita"/>
          <w:rFonts w:ascii="DejaVu Serif" w:hAnsi="DejaVu Serif"/>
          <w:b w:val="0"/>
          <w:sz w:val="20"/>
          <w:szCs w:val="20"/>
          <w:lang w:val="es-CL"/>
        </w:rPr>
      </w:pPr>
    </w:p>
    <w:p w14:paraId="5796F940" w14:textId="77777777" w:rsidR="00B84B1E" w:rsidRPr="00B84B1E" w:rsidRDefault="00B84B1E" w:rsidP="00B84B1E">
      <w:pPr>
        <w:jc w:val="both"/>
        <w:rPr>
          <w:rFonts w:ascii="DejaVu Serif" w:eastAsia="EB Garamond" w:hAnsi="DejaVu Serif"/>
          <w:color w:val="auto"/>
          <w:sz w:val="20"/>
          <w:szCs w:val="20"/>
          <w:lang w:val="es-CL"/>
        </w:rPr>
      </w:pPr>
    </w:p>
    <w:p w14:paraId="2733D3A8" w14:textId="77777777" w:rsidR="00B84B1E" w:rsidRPr="00B84B1E" w:rsidRDefault="00B84B1E" w:rsidP="00B84B1E">
      <w:pPr>
        <w:jc w:val="both"/>
        <w:rPr>
          <w:rFonts w:ascii="DejaVu Serif" w:hAnsi="DejaVu Serif" w:cs="DejaVu Sans"/>
          <w:color w:val="auto"/>
          <w:sz w:val="20"/>
          <w:szCs w:val="20"/>
          <w:lang w:val="es-CL"/>
        </w:rPr>
      </w:pPr>
    </w:p>
    <w:sectPr w:rsidR="00B84B1E" w:rsidRPr="00B84B1E" w:rsidSect="00B52787">
      <w:type w:val="continuous"/>
      <w:pgSz w:w="12240" w:h="15840"/>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304CB" w14:textId="77777777" w:rsidR="005F2FB1" w:rsidRDefault="005F2FB1">
      <w:pPr>
        <w:spacing w:after="0"/>
      </w:pPr>
    </w:p>
    <w:p w14:paraId="1A8BAC66" w14:textId="77777777" w:rsidR="005F2FB1" w:rsidRDefault="005F2FB1"/>
    <w:p w14:paraId="7B6197EC" w14:textId="77777777" w:rsidR="005F2FB1" w:rsidRDefault="005F2FB1"/>
    <w:p w14:paraId="6A0E34E3" w14:textId="77777777" w:rsidR="005F2FB1" w:rsidRDefault="005F2FB1"/>
  </w:endnote>
  <w:endnote w:type="continuationSeparator" w:id="0">
    <w:p w14:paraId="0340FB17" w14:textId="77777777" w:rsidR="005F2FB1" w:rsidRDefault="005F2FB1">
      <w:pPr>
        <w:spacing w:after="0"/>
      </w:pPr>
    </w:p>
    <w:p w14:paraId="6EED573A" w14:textId="77777777" w:rsidR="005F2FB1" w:rsidRDefault="005F2FB1"/>
    <w:p w14:paraId="22383CEB" w14:textId="77777777" w:rsidR="005F2FB1" w:rsidRDefault="005F2FB1"/>
    <w:p w14:paraId="6285BCB1" w14:textId="77777777" w:rsidR="005F2FB1" w:rsidRDefault="005F2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erif">
    <w:panose1 w:val="02060603050605020204"/>
    <w:charset w:val="00"/>
    <w:family w:val="roman"/>
    <w:pitch w:val="variable"/>
    <w:sig w:usb0="E40006FF" w:usb1="5200F1FB" w:usb2="0A04002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jaVu Sans">
    <w:panose1 w:val="020B0603030804020204"/>
    <w:charset w:val="00"/>
    <w:family w:val="swiss"/>
    <w:pitch w:val="variable"/>
    <w:sig w:usb0="E7002EFF" w:usb1="D200F5FF" w:usb2="0A246029" w:usb3="00000000" w:csb0="000001FF" w:csb1="00000000"/>
  </w:font>
  <w:font w:name="EB Garamond 08">
    <w:altName w:val="Times New Roman"/>
    <w:charset w:val="00"/>
    <w:family w:val="auto"/>
    <w:pitch w:val="variable"/>
    <w:sig w:usb0="00000001" w:usb1="5000004A" w:usb2="00000000" w:usb3="00000000" w:csb0="00000111" w:csb1="00000000"/>
  </w:font>
  <w:font w:name="DejaVu Sans Condensed">
    <w:panose1 w:val="020B0606030804020204"/>
    <w:charset w:val="00"/>
    <w:family w:val="swiss"/>
    <w:pitch w:val="variable"/>
    <w:sig w:usb0="E7002EFF" w:usb1="D200F5FF" w:usb2="0A246029" w:usb3="00000000" w:csb0="000001FF" w:csb1="00000000"/>
  </w:font>
  <w:font w:name="Garamond">
    <w:panose1 w:val="02020404030301010803"/>
    <w:charset w:val="00"/>
    <w:family w:val="roman"/>
    <w:pitch w:val="variable"/>
    <w:sig w:usb0="00000287" w:usb1="00000000" w:usb2="00000000" w:usb3="00000000" w:csb0="0000009F" w:csb1="00000000"/>
  </w:font>
  <w:font w:name="EB Garamond">
    <w:altName w:val="Times New Roman"/>
    <w:charset w:val="00"/>
    <w:family w:val="auto"/>
    <w:pitch w:val="default"/>
  </w:font>
  <w:font w:name="DejaVu Serif Condensed">
    <w:panose1 w:val="02060606050605020204"/>
    <w:charset w:val="00"/>
    <w:family w:val="roman"/>
    <w:pitch w:val="variable"/>
    <w:sig w:usb0="E40006FF" w:usb1="5200F1FB" w:usb2="0A040020" w:usb3="00000000" w:csb0="0000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52DE7" w14:textId="77777777" w:rsidR="005F2FB1" w:rsidRDefault="005F2FB1">
      <w:pPr>
        <w:spacing w:after="0"/>
      </w:pPr>
    </w:p>
    <w:p w14:paraId="5FDEE00A" w14:textId="77777777" w:rsidR="005F2FB1" w:rsidRDefault="005F2FB1"/>
    <w:p w14:paraId="0445D9C5" w14:textId="77777777" w:rsidR="005F2FB1" w:rsidRDefault="005F2FB1"/>
    <w:p w14:paraId="06C010E5" w14:textId="77777777" w:rsidR="005F2FB1" w:rsidRDefault="005F2FB1"/>
  </w:footnote>
  <w:footnote w:type="continuationSeparator" w:id="0">
    <w:p w14:paraId="7CA66A5A" w14:textId="77777777" w:rsidR="005F2FB1" w:rsidRDefault="005F2FB1">
      <w:pPr>
        <w:spacing w:after="0"/>
      </w:pPr>
    </w:p>
    <w:p w14:paraId="174B0186" w14:textId="77777777" w:rsidR="005F2FB1" w:rsidRDefault="005F2FB1"/>
    <w:p w14:paraId="33862ADA" w14:textId="77777777" w:rsidR="005F2FB1" w:rsidRDefault="005F2FB1"/>
    <w:p w14:paraId="3D26B760" w14:textId="77777777" w:rsidR="005F2FB1" w:rsidRDefault="005F2FB1"/>
  </w:footnote>
  <w:footnote w:id="1">
    <w:p w14:paraId="0A5B5B2E" w14:textId="77777777" w:rsidR="002C01EE" w:rsidRPr="00414E56" w:rsidRDefault="002C01EE" w:rsidP="00414E56">
      <w:pPr>
        <w:pStyle w:val="Textonotapie"/>
        <w:jc w:val="both"/>
        <w:rPr>
          <w:rFonts w:ascii="DejaVu Serif" w:hAnsi="DejaVu Serif"/>
          <w:color w:val="000000" w:themeColor="text1"/>
          <w:sz w:val="18"/>
          <w:szCs w:val="18"/>
          <w:lang w:val="es-CL"/>
        </w:rPr>
      </w:pPr>
      <w:r w:rsidRPr="0068357D">
        <w:rPr>
          <w:rStyle w:val="Refdenotaalpie"/>
          <w:rFonts w:ascii="DejaVu Serif" w:hAnsi="DejaVu Serif"/>
          <w:color w:val="000000" w:themeColor="text1"/>
          <w:sz w:val="18"/>
          <w:szCs w:val="18"/>
        </w:rPr>
        <w:footnoteRef/>
      </w:r>
      <w:r w:rsidRPr="00414E56">
        <w:rPr>
          <w:rFonts w:ascii="DejaVu Serif" w:hAnsi="DejaVu Serif"/>
          <w:color w:val="000000" w:themeColor="text1"/>
          <w:sz w:val="18"/>
          <w:szCs w:val="18"/>
          <w:lang w:val="es-CL"/>
        </w:rPr>
        <w:t xml:space="preserve"> Originado en el Reclamo de Ilegalidad contra el Dictamen rol C406-2011 del Consejo para la Transparencia.</w:t>
      </w:r>
    </w:p>
  </w:footnote>
  <w:footnote w:id="2">
    <w:p w14:paraId="6DC5A157" w14:textId="0F6C7FA9" w:rsidR="002C01EE" w:rsidRPr="0068357D" w:rsidRDefault="002C01EE" w:rsidP="00414E56">
      <w:pPr>
        <w:pStyle w:val="Normal1"/>
        <w:jc w:val="both"/>
        <w:rPr>
          <w:rFonts w:ascii="DejaVu Serif" w:hAnsi="DejaVu Serif"/>
          <w:color w:val="000000" w:themeColor="text1"/>
          <w:sz w:val="18"/>
          <w:szCs w:val="18"/>
        </w:rPr>
      </w:pPr>
      <w:r w:rsidRPr="0068357D">
        <w:rPr>
          <w:rFonts w:ascii="DejaVu Serif" w:hAnsi="DejaVu Serif"/>
          <w:color w:val="000000" w:themeColor="text1"/>
          <w:sz w:val="18"/>
          <w:szCs w:val="18"/>
          <w:vertAlign w:val="superscript"/>
        </w:rPr>
        <w:footnoteRef/>
      </w:r>
      <w:r w:rsidRPr="0068357D">
        <w:rPr>
          <w:rFonts w:ascii="DejaVu Serif" w:hAnsi="DejaVu Serif"/>
          <w:color w:val="000000" w:themeColor="text1"/>
          <w:sz w:val="18"/>
          <w:szCs w:val="18"/>
        </w:rPr>
        <w:t>Considerando decimoquinto y siguiente.</w:t>
      </w:r>
    </w:p>
  </w:footnote>
  <w:footnote w:id="3">
    <w:p w14:paraId="51CB7832" w14:textId="77777777" w:rsidR="002C01EE" w:rsidRPr="0068357D" w:rsidRDefault="002C01EE" w:rsidP="00414E56">
      <w:pPr>
        <w:pStyle w:val="Normal1"/>
        <w:jc w:val="both"/>
        <w:rPr>
          <w:rFonts w:ascii="DejaVu Serif" w:hAnsi="DejaVu Serif"/>
          <w:color w:val="000000" w:themeColor="text1"/>
          <w:sz w:val="18"/>
          <w:szCs w:val="18"/>
        </w:rPr>
      </w:pPr>
      <w:r w:rsidRPr="0068357D">
        <w:rPr>
          <w:rFonts w:ascii="DejaVu Serif" w:hAnsi="DejaVu Serif"/>
          <w:color w:val="000000" w:themeColor="text1"/>
          <w:sz w:val="18"/>
          <w:szCs w:val="18"/>
          <w:vertAlign w:val="superscript"/>
        </w:rPr>
        <w:footnoteRef/>
      </w:r>
      <w:r w:rsidRPr="0068357D">
        <w:rPr>
          <w:rFonts w:ascii="DejaVu Serif" w:hAnsi="DejaVu Serif"/>
          <w:color w:val="000000" w:themeColor="text1"/>
          <w:sz w:val="18"/>
          <w:szCs w:val="18"/>
        </w:rPr>
        <w:t xml:space="preserve"> Citando las sentencias del TC, en causas roles: 634-2007; 1.732-2011; 1.800-2011 y 1.990-2011.</w:t>
      </w:r>
    </w:p>
  </w:footnote>
  <w:footnote w:id="4">
    <w:p w14:paraId="05CEFE18" w14:textId="77777777" w:rsidR="002C01EE" w:rsidRPr="0068357D" w:rsidRDefault="002C01EE" w:rsidP="00414E56">
      <w:pPr>
        <w:pStyle w:val="Normal1"/>
        <w:jc w:val="both"/>
        <w:rPr>
          <w:rFonts w:ascii="DejaVu Serif" w:hAnsi="DejaVu Serif"/>
          <w:color w:val="000000" w:themeColor="text1"/>
          <w:sz w:val="18"/>
          <w:szCs w:val="18"/>
        </w:rPr>
      </w:pPr>
      <w:r w:rsidRPr="0068357D">
        <w:rPr>
          <w:rFonts w:ascii="DejaVu Serif" w:hAnsi="DejaVu Serif"/>
          <w:color w:val="000000" w:themeColor="text1"/>
          <w:sz w:val="18"/>
          <w:szCs w:val="18"/>
          <w:vertAlign w:val="superscript"/>
        </w:rPr>
        <w:footnoteRef/>
      </w:r>
      <w:r w:rsidRPr="0068357D">
        <w:rPr>
          <w:rFonts w:ascii="DejaVu Serif" w:hAnsi="DejaVu Serif"/>
          <w:color w:val="000000" w:themeColor="text1"/>
          <w:sz w:val="18"/>
          <w:szCs w:val="18"/>
        </w:rPr>
        <w:t xml:space="preserve"> Citando las sentencias del TC en causas roles: 634-2007 y 1.990-2011.</w:t>
      </w:r>
    </w:p>
  </w:footnote>
  <w:footnote w:id="5">
    <w:p w14:paraId="70F68FB8" w14:textId="77777777" w:rsidR="002C01EE" w:rsidRPr="0068357D" w:rsidRDefault="002C01EE" w:rsidP="00414E56">
      <w:pPr>
        <w:pStyle w:val="Normal1"/>
        <w:jc w:val="both"/>
        <w:rPr>
          <w:rFonts w:ascii="DejaVu Serif" w:hAnsi="DejaVu Serif"/>
          <w:color w:val="000000" w:themeColor="text1"/>
          <w:sz w:val="18"/>
          <w:szCs w:val="18"/>
        </w:rPr>
      </w:pPr>
      <w:r w:rsidRPr="0068357D">
        <w:rPr>
          <w:rFonts w:ascii="DejaVu Serif" w:hAnsi="DejaVu Serif"/>
          <w:color w:val="000000" w:themeColor="text1"/>
          <w:sz w:val="18"/>
          <w:szCs w:val="18"/>
          <w:vertAlign w:val="superscript"/>
        </w:rPr>
        <w:footnoteRef/>
      </w:r>
      <w:r w:rsidRPr="0068357D">
        <w:rPr>
          <w:rFonts w:ascii="DejaVu Serif" w:hAnsi="DejaVu Serif"/>
          <w:color w:val="000000" w:themeColor="text1"/>
          <w:sz w:val="18"/>
          <w:szCs w:val="18"/>
        </w:rPr>
        <w:t xml:space="preserve"> Citando las sentencias del TC en causas roles: 634-2007, 1.732-2011 y 1.800-2012.</w:t>
      </w:r>
    </w:p>
  </w:footnote>
  <w:footnote w:id="6">
    <w:p w14:paraId="3DF47E1B" w14:textId="77777777" w:rsidR="002C01EE" w:rsidRPr="0068357D" w:rsidRDefault="002C01EE" w:rsidP="00414E56">
      <w:pPr>
        <w:pStyle w:val="Normal1"/>
        <w:jc w:val="both"/>
        <w:rPr>
          <w:rFonts w:ascii="DejaVu Serif" w:hAnsi="DejaVu Serif"/>
          <w:color w:val="000000" w:themeColor="text1"/>
          <w:sz w:val="18"/>
          <w:szCs w:val="18"/>
        </w:rPr>
      </w:pPr>
      <w:r w:rsidRPr="0068357D">
        <w:rPr>
          <w:rFonts w:ascii="DejaVu Serif" w:hAnsi="DejaVu Serif"/>
          <w:color w:val="000000" w:themeColor="text1"/>
          <w:sz w:val="18"/>
          <w:szCs w:val="18"/>
          <w:vertAlign w:val="superscript"/>
        </w:rPr>
        <w:footnoteRef/>
      </w:r>
      <w:r w:rsidRPr="0068357D">
        <w:rPr>
          <w:rFonts w:ascii="DejaVu Serif" w:hAnsi="DejaVu Serif"/>
          <w:color w:val="000000" w:themeColor="text1"/>
          <w:sz w:val="18"/>
          <w:szCs w:val="18"/>
        </w:rPr>
        <w:t xml:space="preserve"> Citando la sentencia del TC en causa rol: 1.990-2011.</w:t>
      </w:r>
    </w:p>
  </w:footnote>
  <w:footnote w:id="7">
    <w:p w14:paraId="679699D0" w14:textId="77777777" w:rsidR="002C01EE" w:rsidRPr="0068357D" w:rsidRDefault="002C01EE" w:rsidP="00414E56">
      <w:pPr>
        <w:pStyle w:val="Normal1"/>
        <w:jc w:val="both"/>
        <w:rPr>
          <w:rFonts w:ascii="DejaVu Serif" w:hAnsi="DejaVu Serif"/>
          <w:color w:val="000000" w:themeColor="text1"/>
          <w:sz w:val="18"/>
          <w:szCs w:val="18"/>
        </w:rPr>
      </w:pPr>
      <w:r w:rsidRPr="0068357D">
        <w:rPr>
          <w:rFonts w:ascii="DejaVu Serif" w:hAnsi="DejaVu Serif"/>
          <w:color w:val="000000" w:themeColor="text1"/>
          <w:sz w:val="18"/>
          <w:szCs w:val="18"/>
          <w:vertAlign w:val="superscript"/>
        </w:rPr>
        <w:footnoteRef/>
      </w:r>
      <w:r w:rsidRPr="0068357D">
        <w:rPr>
          <w:rFonts w:ascii="DejaVu Serif" w:hAnsi="DejaVu Serif"/>
          <w:color w:val="000000" w:themeColor="text1"/>
          <w:sz w:val="18"/>
          <w:szCs w:val="18"/>
        </w:rPr>
        <w:t xml:space="preserve"> Citando la sentencia del TC en causa rol: 1.990-2011.</w:t>
      </w:r>
    </w:p>
  </w:footnote>
  <w:footnote w:id="8">
    <w:p w14:paraId="1797AFC2" w14:textId="77777777" w:rsidR="002C01EE" w:rsidRPr="00414E56" w:rsidRDefault="002C01EE" w:rsidP="00414E56">
      <w:pPr>
        <w:pStyle w:val="Textonotapie"/>
        <w:rPr>
          <w:rFonts w:ascii="DejaVu Serif" w:hAnsi="DejaVu Serif"/>
          <w:sz w:val="18"/>
          <w:szCs w:val="18"/>
          <w:lang w:val="es-CL"/>
        </w:rPr>
      </w:pPr>
      <w:r w:rsidRPr="0068357D">
        <w:rPr>
          <w:rStyle w:val="Refdenotaalpie"/>
          <w:rFonts w:ascii="DejaVu Serif" w:hAnsi="DejaVu Serif"/>
          <w:sz w:val="18"/>
          <w:szCs w:val="18"/>
        </w:rPr>
        <w:footnoteRef/>
      </w:r>
      <w:r w:rsidRPr="00414E56">
        <w:rPr>
          <w:rFonts w:ascii="DejaVu Serif" w:hAnsi="DejaVu Serif"/>
          <w:sz w:val="18"/>
          <w:szCs w:val="18"/>
          <w:lang w:val="es-CL"/>
        </w:rPr>
        <w:t xml:space="preserve"> Considerando decimonoveno.</w:t>
      </w:r>
    </w:p>
  </w:footnote>
  <w:footnote w:id="9">
    <w:p w14:paraId="313E6E3C" w14:textId="77777777" w:rsidR="002C01EE" w:rsidRPr="0068357D" w:rsidRDefault="002C01EE" w:rsidP="00414E56">
      <w:pPr>
        <w:pStyle w:val="Normal1"/>
        <w:jc w:val="both"/>
        <w:rPr>
          <w:rFonts w:ascii="DejaVu Serif" w:hAnsi="DejaVu Serif"/>
          <w:color w:val="000000" w:themeColor="text1"/>
          <w:sz w:val="18"/>
          <w:szCs w:val="18"/>
        </w:rPr>
      </w:pPr>
      <w:r w:rsidRPr="0068357D">
        <w:rPr>
          <w:rFonts w:ascii="DejaVu Serif" w:hAnsi="DejaVu Serif"/>
          <w:color w:val="000000" w:themeColor="text1"/>
          <w:sz w:val="18"/>
          <w:szCs w:val="18"/>
          <w:vertAlign w:val="superscript"/>
        </w:rPr>
        <w:footnoteRef/>
      </w:r>
      <w:r w:rsidRPr="0068357D">
        <w:rPr>
          <w:rFonts w:ascii="DejaVu Serif" w:hAnsi="DejaVu Serif"/>
          <w:color w:val="000000" w:themeColor="text1"/>
          <w:sz w:val="18"/>
          <w:szCs w:val="18"/>
        </w:rPr>
        <w:t xml:space="preserve"> Conforme a la Ley </w:t>
      </w:r>
      <w:r>
        <w:rPr>
          <w:rFonts w:ascii="DejaVu Serif" w:hAnsi="DejaVu Serif"/>
          <w:color w:val="000000" w:themeColor="text1"/>
          <w:sz w:val="18"/>
          <w:szCs w:val="18"/>
        </w:rPr>
        <w:t xml:space="preserve">N° </w:t>
      </w:r>
      <w:r w:rsidRPr="0068357D">
        <w:rPr>
          <w:rFonts w:ascii="DejaVu Serif" w:hAnsi="DejaVu Serif"/>
          <w:color w:val="000000" w:themeColor="text1"/>
          <w:sz w:val="18"/>
          <w:szCs w:val="18"/>
        </w:rPr>
        <w:t>19.880.</w:t>
      </w:r>
    </w:p>
  </w:footnote>
  <w:footnote w:id="10">
    <w:p w14:paraId="4317B596" w14:textId="77777777" w:rsidR="002C01EE" w:rsidRPr="00414E56" w:rsidRDefault="002C01EE" w:rsidP="00414E56">
      <w:pPr>
        <w:pStyle w:val="NormalWeb"/>
        <w:spacing w:after="0"/>
        <w:ind w:right="397"/>
        <w:rPr>
          <w:rFonts w:ascii="DejaVu Serif" w:hAnsi="DejaVu Serif"/>
          <w:sz w:val="18"/>
          <w:szCs w:val="18"/>
          <w:lang w:val="es-CL"/>
        </w:rPr>
      </w:pPr>
      <w:r w:rsidRPr="00E458B8">
        <w:rPr>
          <w:rStyle w:val="Refdenotaalpie"/>
          <w:rFonts w:ascii="DejaVu Serif" w:hAnsi="DejaVu Serif"/>
          <w:sz w:val="18"/>
          <w:szCs w:val="18"/>
        </w:rPr>
        <w:footnoteRef/>
      </w:r>
      <w:r w:rsidRPr="00414E56">
        <w:rPr>
          <w:rFonts w:ascii="DejaVu Serif" w:hAnsi="DejaVu Serif"/>
          <w:sz w:val="18"/>
          <w:szCs w:val="18"/>
          <w:lang w:val="es-CL"/>
        </w:rPr>
        <w:t xml:space="preserve"> Reclamo de Inaplicabilidad</w:t>
      </w:r>
      <w:r w:rsidRPr="00414E56">
        <w:rPr>
          <w:rFonts w:ascii="DejaVu Serif" w:hAnsi="DejaVu Serif" w:cs="Courier New"/>
          <w:sz w:val="18"/>
          <w:szCs w:val="18"/>
          <w:lang w:val="es-CL"/>
        </w:rPr>
        <w:t xml:space="preserve"> </w:t>
      </w:r>
      <w:r w:rsidRPr="00414E56">
        <w:rPr>
          <w:rFonts w:ascii="DejaVu Serif" w:hAnsi="DejaVu Serif" w:cs="Courier New"/>
          <w:color w:val="000000"/>
          <w:sz w:val="18"/>
          <w:szCs w:val="18"/>
          <w:lang w:val="es-CL"/>
        </w:rPr>
        <w:t>por inconstitucionalidad del artículo 5°, inciso segundo, de la denominada Ley de Transparencia, originado en recurso de queja rol N° 34.432-2016, sustanciado por la Corte Suprema.</w:t>
      </w:r>
    </w:p>
  </w:footnote>
  <w:footnote w:id="11">
    <w:p w14:paraId="7F9E0166" w14:textId="77777777" w:rsidR="002C01EE" w:rsidRPr="00414E56" w:rsidRDefault="002C01EE" w:rsidP="00414E56">
      <w:pPr>
        <w:pStyle w:val="Textonotapie"/>
        <w:rPr>
          <w:rFonts w:ascii="DejaVu Serif" w:hAnsi="DejaVu Serif"/>
          <w:color w:val="auto"/>
          <w:sz w:val="18"/>
          <w:szCs w:val="18"/>
          <w:lang w:val="es-CL"/>
        </w:rPr>
      </w:pPr>
      <w:r w:rsidRPr="00067BF3">
        <w:rPr>
          <w:rStyle w:val="Refdenotaalpie"/>
          <w:rFonts w:ascii="DejaVu Serif" w:hAnsi="DejaVu Serif"/>
          <w:color w:val="auto"/>
          <w:sz w:val="18"/>
          <w:szCs w:val="18"/>
        </w:rPr>
        <w:footnoteRef/>
      </w:r>
      <w:r w:rsidRPr="00414E56">
        <w:rPr>
          <w:rFonts w:ascii="DejaVu Serif" w:hAnsi="DejaVu Serif"/>
          <w:color w:val="auto"/>
          <w:sz w:val="18"/>
          <w:szCs w:val="18"/>
          <w:lang w:val="es-CL"/>
        </w:rPr>
        <w:t xml:space="preserve"> C</w:t>
      </w:r>
      <w:r w:rsidRPr="00414E56">
        <w:rPr>
          <w:rFonts w:ascii="DejaVu Serif" w:hAnsi="DejaVu Serif" w:cs="Courier New"/>
          <w:bCs/>
          <w:color w:val="auto"/>
          <w:sz w:val="18"/>
          <w:szCs w:val="18"/>
          <w:lang w:val="es-CL"/>
        </w:rPr>
        <w:t>onsiderando trigésimo.</w:t>
      </w:r>
    </w:p>
  </w:footnote>
  <w:footnote w:id="12">
    <w:p w14:paraId="6BA891F3" w14:textId="6A5379B6" w:rsidR="002C01EE" w:rsidRPr="00414E56" w:rsidRDefault="002C01EE" w:rsidP="004138D4">
      <w:pPr>
        <w:pStyle w:val="Textonotapie"/>
        <w:jc w:val="both"/>
        <w:rPr>
          <w:rFonts w:ascii="DejaVu Serif" w:hAnsi="DejaVu Serif"/>
          <w:color w:val="auto"/>
          <w:sz w:val="18"/>
          <w:szCs w:val="18"/>
          <w:lang w:val="es-CL"/>
        </w:rPr>
      </w:pPr>
      <w:r w:rsidRPr="00067BF3">
        <w:rPr>
          <w:rStyle w:val="Refdenotaalpie"/>
          <w:rFonts w:ascii="DejaVu Serif" w:hAnsi="DejaVu Serif"/>
          <w:color w:val="auto"/>
          <w:sz w:val="18"/>
          <w:szCs w:val="18"/>
        </w:rPr>
        <w:footnoteRef/>
      </w:r>
      <w:r>
        <w:rPr>
          <w:rFonts w:ascii="DejaVu Serif" w:hAnsi="DejaVu Serif"/>
          <w:color w:val="auto"/>
          <w:sz w:val="18"/>
          <w:szCs w:val="18"/>
          <w:lang w:val="es-CL"/>
        </w:rPr>
        <w:t xml:space="preserve"> Citando la</w:t>
      </w:r>
      <w:r w:rsidRPr="00414E56">
        <w:rPr>
          <w:rFonts w:ascii="DejaVu Serif" w:hAnsi="DejaVu Serif"/>
          <w:color w:val="auto"/>
          <w:sz w:val="18"/>
          <w:szCs w:val="18"/>
          <w:lang w:val="es-CL"/>
        </w:rPr>
        <w:t xml:space="preserve"> H</w:t>
      </w:r>
      <w:r>
        <w:rPr>
          <w:rFonts w:ascii="DejaVu Serif" w:hAnsi="DejaVu Serif" w:cs="Courier New"/>
          <w:color w:val="auto"/>
          <w:sz w:val="18"/>
          <w:szCs w:val="18"/>
          <w:lang w:val="es-CL"/>
        </w:rPr>
        <w:t>istoria de la L</w:t>
      </w:r>
      <w:r w:rsidRPr="00414E56">
        <w:rPr>
          <w:rFonts w:ascii="DejaVu Serif" w:hAnsi="DejaVu Serif" w:cs="Courier New"/>
          <w:color w:val="auto"/>
          <w:sz w:val="18"/>
          <w:szCs w:val="18"/>
          <w:lang w:val="es-CL"/>
        </w:rPr>
        <w:t xml:space="preserve">ey </w:t>
      </w:r>
      <w:r>
        <w:rPr>
          <w:rFonts w:ascii="DejaVu Serif" w:hAnsi="DejaVu Serif" w:cs="Courier New"/>
          <w:color w:val="auto"/>
          <w:sz w:val="18"/>
          <w:szCs w:val="18"/>
          <w:lang w:val="es-CL"/>
        </w:rPr>
        <w:t>N</w:t>
      </w:r>
      <w:r w:rsidRPr="00414E56">
        <w:rPr>
          <w:rFonts w:ascii="DejaVu Serif" w:hAnsi="DejaVu Serif" w:cs="Courier New"/>
          <w:color w:val="auto"/>
          <w:sz w:val="18"/>
          <w:szCs w:val="18"/>
          <w:lang w:val="es-CL"/>
        </w:rPr>
        <w:t xml:space="preserve">° 20.285, </w:t>
      </w:r>
      <w:r>
        <w:rPr>
          <w:rFonts w:ascii="DejaVu Serif" w:hAnsi="DejaVu Serif" w:cs="Courier New"/>
          <w:color w:val="auto"/>
          <w:sz w:val="18"/>
          <w:szCs w:val="18"/>
          <w:lang w:val="es-CL"/>
        </w:rPr>
        <w:t>B</w:t>
      </w:r>
      <w:r w:rsidRPr="00414E56">
        <w:rPr>
          <w:rFonts w:ascii="DejaVu Serif" w:hAnsi="DejaVu Serif" w:cs="Courier New"/>
          <w:color w:val="auto"/>
          <w:sz w:val="18"/>
          <w:szCs w:val="18"/>
          <w:lang w:val="es-CL"/>
        </w:rPr>
        <w:t xml:space="preserve">iblioteca del </w:t>
      </w:r>
      <w:r>
        <w:rPr>
          <w:rFonts w:ascii="DejaVu Serif" w:hAnsi="DejaVu Serif" w:cs="Courier New"/>
          <w:color w:val="auto"/>
          <w:sz w:val="18"/>
          <w:szCs w:val="18"/>
          <w:lang w:val="es-CL"/>
        </w:rPr>
        <w:t>Co</w:t>
      </w:r>
      <w:r w:rsidRPr="00414E56">
        <w:rPr>
          <w:rFonts w:ascii="DejaVu Serif" w:hAnsi="DejaVu Serif" w:cs="Courier New"/>
          <w:color w:val="auto"/>
          <w:sz w:val="18"/>
          <w:szCs w:val="18"/>
          <w:lang w:val="es-CL"/>
        </w:rPr>
        <w:t xml:space="preserve">ngreso </w:t>
      </w:r>
      <w:r>
        <w:rPr>
          <w:rFonts w:ascii="DejaVu Serif" w:hAnsi="DejaVu Serif" w:cs="Courier New"/>
          <w:color w:val="auto"/>
          <w:sz w:val="18"/>
          <w:szCs w:val="18"/>
          <w:lang w:val="es-CL"/>
        </w:rPr>
        <w:t>N</w:t>
      </w:r>
      <w:r w:rsidRPr="00414E56">
        <w:rPr>
          <w:rFonts w:ascii="DejaVu Serif" w:hAnsi="DejaVu Serif" w:cs="Courier New"/>
          <w:color w:val="auto"/>
          <w:sz w:val="18"/>
          <w:szCs w:val="18"/>
          <w:lang w:val="es-CL"/>
        </w:rPr>
        <w:t>acional, páginas 117 y siguientes</w:t>
      </w:r>
      <w:r>
        <w:rPr>
          <w:rFonts w:ascii="DejaVu Serif" w:hAnsi="DejaVu Serif" w:cs="Courier New"/>
          <w:color w:val="auto"/>
          <w:sz w:val="18"/>
          <w:szCs w:val="18"/>
          <w:lang w:val="es-CL"/>
        </w:rPr>
        <w:t>.</w:t>
      </w:r>
    </w:p>
  </w:footnote>
  <w:footnote w:id="13">
    <w:p w14:paraId="3CF406B2" w14:textId="77777777" w:rsidR="002C01EE" w:rsidRPr="00067BF3" w:rsidRDefault="002C01EE" w:rsidP="004138D4">
      <w:pPr>
        <w:pStyle w:val="Ttulo1"/>
        <w:shd w:val="clear" w:color="auto" w:fill="FFFFFF"/>
        <w:spacing w:after="0"/>
        <w:jc w:val="both"/>
        <w:rPr>
          <w:color w:val="auto"/>
          <w:sz w:val="18"/>
          <w:szCs w:val="18"/>
        </w:rPr>
      </w:pPr>
      <w:r w:rsidRPr="00067BF3">
        <w:rPr>
          <w:rStyle w:val="Refdenotaalpie"/>
          <w:b w:val="0"/>
          <w:color w:val="auto"/>
          <w:sz w:val="18"/>
          <w:szCs w:val="18"/>
        </w:rPr>
        <w:footnoteRef/>
      </w:r>
      <w:r w:rsidRPr="00067BF3">
        <w:rPr>
          <w:b w:val="0"/>
          <w:color w:val="auto"/>
          <w:sz w:val="18"/>
          <w:szCs w:val="18"/>
        </w:rPr>
        <w:t xml:space="preserve"> E</w:t>
      </w:r>
      <w:r w:rsidRPr="00067BF3">
        <w:rPr>
          <w:rFonts w:cs="Lucida Grande"/>
          <w:b w:val="0"/>
          <w:color w:val="auto"/>
          <w:kern w:val="36"/>
          <w:sz w:val="18"/>
          <w:szCs w:val="18"/>
        </w:rPr>
        <w:t>stablece bases de los procedimientos administrativos que rigen los actos de los órganos de la Administración del Estado.</w:t>
      </w:r>
    </w:p>
  </w:footnote>
  <w:footnote w:id="14">
    <w:p w14:paraId="78B1B865" w14:textId="69E5C9E7" w:rsidR="002C01EE" w:rsidRPr="00414E56" w:rsidRDefault="002C01EE" w:rsidP="004138D4">
      <w:pPr>
        <w:pStyle w:val="Textonotapie"/>
        <w:jc w:val="both"/>
        <w:rPr>
          <w:rFonts w:ascii="DejaVu Serif" w:hAnsi="DejaVu Serif"/>
          <w:sz w:val="18"/>
          <w:szCs w:val="18"/>
          <w:lang w:val="es-CL"/>
        </w:rPr>
      </w:pPr>
      <w:r w:rsidRPr="00067BF3">
        <w:rPr>
          <w:rStyle w:val="Refdenotaalpie"/>
          <w:rFonts w:ascii="DejaVu Serif" w:hAnsi="DejaVu Serif"/>
          <w:color w:val="auto"/>
          <w:sz w:val="18"/>
          <w:szCs w:val="18"/>
        </w:rPr>
        <w:footnoteRef/>
      </w:r>
      <w:r w:rsidRPr="00414E56">
        <w:rPr>
          <w:rFonts w:ascii="DejaVu Serif" w:hAnsi="DejaVu Serif"/>
          <w:color w:val="auto"/>
          <w:sz w:val="18"/>
          <w:szCs w:val="18"/>
          <w:lang w:val="es-CL"/>
        </w:rPr>
        <w:t xml:space="preserve"> C</w:t>
      </w:r>
      <w:r>
        <w:rPr>
          <w:rFonts w:ascii="DejaVu Serif" w:hAnsi="DejaVu Serif" w:cs="Courier New"/>
          <w:bCs/>
          <w:color w:val="auto"/>
          <w:sz w:val="18"/>
          <w:szCs w:val="18"/>
          <w:lang w:val="es-CL"/>
        </w:rPr>
        <w:t xml:space="preserve">onsiderando </w:t>
      </w:r>
      <w:proofErr w:type="spellStart"/>
      <w:r>
        <w:rPr>
          <w:rFonts w:ascii="DejaVu Serif" w:hAnsi="DejaVu Serif" w:cs="Courier New"/>
          <w:bCs/>
          <w:color w:val="auto"/>
          <w:sz w:val="18"/>
          <w:szCs w:val="18"/>
          <w:lang w:val="es-CL"/>
        </w:rPr>
        <w:t>trigé</w:t>
      </w:r>
      <w:r w:rsidRPr="00414E56">
        <w:rPr>
          <w:rFonts w:ascii="DejaVu Serif" w:hAnsi="DejaVu Serif" w:cs="Courier New"/>
          <w:bCs/>
          <w:color w:val="auto"/>
          <w:sz w:val="18"/>
          <w:szCs w:val="18"/>
          <w:lang w:val="es-CL"/>
        </w:rPr>
        <w:t>simotercero</w:t>
      </w:r>
      <w:proofErr w:type="spellEnd"/>
      <w:r w:rsidRPr="00414E56">
        <w:rPr>
          <w:rFonts w:ascii="DejaVu Serif" w:hAnsi="DejaVu Serif" w:cs="Courier New"/>
          <w:bCs/>
          <w:color w:val="auto"/>
          <w:sz w:val="18"/>
          <w:szCs w:val="18"/>
          <w:lang w:val="es-CL"/>
        </w:rPr>
        <w:t>.</w:t>
      </w:r>
    </w:p>
  </w:footnote>
  <w:footnote w:id="15">
    <w:p w14:paraId="54FC03CF" w14:textId="57A2288B" w:rsidR="002C01EE" w:rsidRPr="00414E56" w:rsidRDefault="002C01EE" w:rsidP="004138D4">
      <w:pPr>
        <w:pStyle w:val="Textonotapie"/>
        <w:jc w:val="both"/>
        <w:rPr>
          <w:rFonts w:ascii="DejaVu Serif" w:hAnsi="DejaVu Serif"/>
          <w:sz w:val="18"/>
          <w:szCs w:val="18"/>
          <w:lang w:val="es-CL"/>
        </w:rPr>
      </w:pPr>
      <w:r w:rsidRPr="00067BF3">
        <w:rPr>
          <w:rStyle w:val="Refdenotaalpie"/>
          <w:rFonts w:ascii="DejaVu Serif" w:hAnsi="DejaVu Serif"/>
          <w:sz w:val="18"/>
          <w:szCs w:val="18"/>
        </w:rPr>
        <w:footnoteRef/>
      </w:r>
      <w:r w:rsidRPr="00414E56">
        <w:rPr>
          <w:rFonts w:ascii="DejaVu Serif" w:hAnsi="DejaVu Serif"/>
          <w:sz w:val="18"/>
          <w:szCs w:val="18"/>
          <w:lang w:val="es-CL"/>
        </w:rPr>
        <w:t xml:space="preserve"> Considerando </w:t>
      </w:r>
      <w:proofErr w:type="spellStart"/>
      <w:r>
        <w:rPr>
          <w:rFonts w:ascii="DejaVu Serif" w:hAnsi="DejaVu Serif" w:cs="Courier New"/>
          <w:bCs/>
          <w:sz w:val="18"/>
          <w:szCs w:val="18"/>
          <w:lang w:val="es-CL"/>
        </w:rPr>
        <w:t>trigé</w:t>
      </w:r>
      <w:r w:rsidRPr="00414E56">
        <w:rPr>
          <w:rFonts w:ascii="DejaVu Serif" w:hAnsi="DejaVu Serif" w:cs="Courier New"/>
          <w:bCs/>
          <w:sz w:val="18"/>
          <w:szCs w:val="18"/>
          <w:lang w:val="es-CL"/>
        </w:rPr>
        <w:t>simocuarto</w:t>
      </w:r>
      <w:proofErr w:type="spellEnd"/>
      <w:r w:rsidRPr="00414E56">
        <w:rPr>
          <w:rFonts w:ascii="DejaVu Serif" w:hAnsi="DejaVu Serif" w:cs="Courier New"/>
          <w:bCs/>
          <w:sz w:val="18"/>
          <w:szCs w:val="18"/>
          <w:lang w:val="es-CL"/>
        </w:rPr>
        <w:t>.</w:t>
      </w:r>
    </w:p>
  </w:footnote>
  <w:footnote w:id="16">
    <w:p w14:paraId="632B059F" w14:textId="6963F212" w:rsidR="002C01EE" w:rsidRPr="00414E56" w:rsidRDefault="002C01EE" w:rsidP="004138D4">
      <w:pPr>
        <w:pStyle w:val="Textonotapie"/>
        <w:jc w:val="both"/>
        <w:rPr>
          <w:rFonts w:ascii="DejaVu Serif" w:hAnsi="DejaVu Serif"/>
          <w:sz w:val="18"/>
          <w:szCs w:val="18"/>
          <w:lang w:val="es-CL"/>
        </w:rPr>
      </w:pPr>
      <w:r w:rsidRPr="00067BF3">
        <w:rPr>
          <w:rStyle w:val="Refdenotaalpie"/>
          <w:rFonts w:ascii="DejaVu Serif" w:hAnsi="DejaVu Serif"/>
          <w:sz w:val="18"/>
          <w:szCs w:val="18"/>
        </w:rPr>
        <w:footnoteRef/>
      </w:r>
      <w:r>
        <w:rPr>
          <w:rFonts w:ascii="DejaVu Serif" w:hAnsi="DejaVu Serif"/>
          <w:sz w:val="18"/>
          <w:szCs w:val="18"/>
          <w:lang w:val="es-CL"/>
        </w:rPr>
        <w:t xml:space="preserve"> Considerando </w:t>
      </w:r>
      <w:proofErr w:type="spellStart"/>
      <w:r>
        <w:rPr>
          <w:rFonts w:ascii="DejaVu Serif" w:hAnsi="DejaVu Serif"/>
          <w:sz w:val="18"/>
          <w:szCs w:val="18"/>
          <w:lang w:val="es-CL"/>
        </w:rPr>
        <w:t>trigé</w:t>
      </w:r>
      <w:r w:rsidRPr="00414E56">
        <w:rPr>
          <w:rFonts w:ascii="DejaVu Serif" w:hAnsi="DejaVu Serif"/>
          <w:sz w:val="18"/>
          <w:szCs w:val="18"/>
          <w:lang w:val="es-CL"/>
        </w:rPr>
        <w:t>simoséptimo</w:t>
      </w:r>
      <w:proofErr w:type="spellEnd"/>
      <w:r w:rsidRPr="00414E56">
        <w:rPr>
          <w:rFonts w:ascii="DejaVu Serif" w:hAnsi="DejaVu Serif"/>
          <w:sz w:val="18"/>
          <w:szCs w:val="18"/>
          <w:lang w:val="es-CL"/>
        </w:rPr>
        <w:t>.</w:t>
      </w:r>
    </w:p>
  </w:footnote>
  <w:footnote w:id="17">
    <w:p w14:paraId="04839469" w14:textId="3AFF2FC6" w:rsidR="002C01EE" w:rsidRPr="00414E56" w:rsidRDefault="002C01EE" w:rsidP="004138D4">
      <w:pPr>
        <w:pStyle w:val="NormalWeb"/>
        <w:spacing w:after="0"/>
        <w:ind w:right="397"/>
        <w:rPr>
          <w:rFonts w:ascii="DejaVu Serif" w:hAnsi="DejaVu Serif" w:cs="Courier New"/>
          <w:color w:val="000000"/>
          <w:sz w:val="18"/>
          <w:szCs w:val="18"/>
          <w:lang w:val="es-CL"/>
        </w:rPr>
      </w:pPr>
      <w:r w:rsidRPr="00067BF3">
        <w:rPr>
          <w:rStyle w:val="Refdenotaalpie"/>
          <w:rFonts w:ascii="DejaVu Serif" w:hAnsi="DejaVu Serif"/>
          <w:sz w:val="18"/>
          <w:szCs w:val="18"/>
        </w:rPr>
        <w:footnoteRef/>
      </w:r>
      <w:r w:rsidRPr="00414E56">
        <w:rPr>
          <w:rFonts w:ascii="DejaVu Serif" w:hAnsi="DejaVu Serif"/>
          <w:sz w:val="18"/>
          <w:szCs w:val="18"/>
          <w:lang w:val="es-CL"/>
        </w:rPr>
        <w:t xml:space="preserve"> Considerandos </w:t>
      </w:r>
      <w:proofErr w:type="spellStart"/>
      <w:r>
        <w:rPr>
          <w:rFonts w:ascii="DejaVu Serif" w:hAnsi="DejaVu Serif" w:cs="Courier New"/>
          <w:bCs/>
          <w:color w:val="000000"/>
          <w:sz w:val="18"/>
          <w:szCs w:val="18"/>
          <w:lang w:val="es-CL"/>
        </w:rPr>
        <w:t>trigé</w:t>
      </w:r>
      <w:r w:rsidRPr="00414E56">
        <w:rPr>
          <w:rFonts w:ascii="DejaVu Serif" w:hAnsi="DejaVu Serif" w:cs="Courier New"/>
          <w:bCs/>
          <w:color w:val="000000"/>
          <w:sz w:val="18"/>
          <w:szCs w:val="18"/>
          <w:lang w:val="es-CL"/>
        </w:rPr>
        <w:t>simoctavo</w:t>
      </w:r>
      <w:proofErr w:type="spellEnd"/>
      <w:r w:rsidRPr="00414E56">
        <w:rPr>
          <w:rFonts w:ascii="DejaVu Serif" w:hAnsi="DejaVu Serif" w:cs="Courier New"/>
          <w:bCs/>
          <w:color w:val="000000"/>
          <w:sz w:val="18"/>
          <w:szCs w:val="18"/>
          <w:lang w:val="es-CL"/>
        </w:rPr>
        <w:t xml:space="preserve"> a cuadragésimo.</w:t>
      </w:r>
    </w:p>
    <w:p w14:paraId="46E125FC" w14:textId="77777777" w:rsidR="002C01EE" w:rsidRPr="00414E56" w:rsidRDefault="002C01EE" w:rsidP="007D2538">
      <w:pPr>
        <w:pStyle w:val="Textonotapie"/>
        <w:jc w:val="both"/>
        <w:rPr>
          <w:lang w:val="es-CL"/>
        </w:rPr>
      </w:pPr>
    </w:p>
  </w:footnote>
  <w:footnote w:id="18">
    <w:p w14:paraId="467B03F9" w14:textId="77777777" w:rsidR="002C01EE" w:rsidRPr="00414E56" w:rsidRDefault="002C01EE" w:rsidP="007D2538">
      <w:pPr>
        <w:pStyle w:val="Textonotapie"/>
        <w:jc w:val="both"/>
        <w:rPr>
          <w:rFonts w:ascii="DejaVu Serif" w:hAnsi="DejaVu Serif"/>
          <w:sz w:val="18"/>
          <w:szCs w:val="18"/>
          <w:lang w:val="es-CL"/>
        </w:rPr>
      </w:pPr>
      <w:r w:rsidRPr="0068357D">
        <w:rPr>
          <w:rStyle w:val="Refdenotaalpie"/>
          <w:rFonts w:ascii="DejaVu Serif" w:hAnsi="DejaVu Serif"/>
          <w:sz w:val="18"/>
          <w:szCs w:val="18"/>
        </w:rPr>
        <w:footnoteRef/>
      </w:r>
      <w:r w:rsidRPr="00414E56">
        <w:rPr>
          <w:rFonts w:ascii="DejaVu Serif" w:hAnsi="DejaVu Serif"/>
          <w:sz w:val="18"/>
          <w:szCs w:val="18"/>
          <w:lang w:val="es-CL"/>
        </w:rPr>
        <w:t xml:space="preserve"> Considerando decimonoveno.</w:t>
      </w:r>
    </w:p>
  </w:footnote>
  <w:footnote w:id="19">
    <w:p w14:paraId="78542F9C" w14:textId="64B1FF7E" w:rsidR="002C01EE" w:rsidRPr="00414E56" w:rsidRDefault="002C01EE" w:rsidP="007D2538">
      <w:pPr>
        <w:pStyle w:val="Textonotapie"/>
        <w:jc w:val="both"/>
        <w:rPr>
          <w:rFonts w:ascii="DejaVu Serif" w:hAnsi="DejaVu Serif"/>
          <w:sz w:val="18"/>
          <w:szCs w:val="18"/>
          <w:lang w:val="es-CL"/>
        </w:rPr>
      </w:pPr>
      <w:r w:rsidRPr="0068357D">
        <w:rPr>
          <w:rStyle w:val="Refdenotaalpie"/>
          <w:rFonts w:ascii="DejaVu Serif" w:hAnsi="DejaVu Serif"/>
          <w:sz w:val="18"/>
          <w:szCs w:val="18"/>
        </w:rPr>
        <w:footnoteRef/>
      </w:r>
      <w:r w:rsidRPr="00414E56">
        <w:rPr>
          <w:rFonts w:ascii="DejaVu Serif" w:hAnsi="DejaVu Serif"/>
          <w:sz w:val="18"/>
          <w:szCs w:val="18"/>
          <w:lang w:val="es-CL"/>
        </w:rPr>
        <w:t xml:space="preserve"> Considerando </w:t>
      </w:r>
      <w:proofErr w:type="spellStart"/>
      <w:r w:rsidRPr="00414E56">
        <w:rPr>
          <w:rFonts w:ascii="DejaVu Serif" w:hAnsi="DejaVu Serif"/>
          <w:sz w:val="18"/>
          <w:szCs w:val="18"/>
          <w:lang w:val="es-CL"/>
        </w:rPr>
        <w:t>vig</w:t>
      </w:r>
      <w:r>
        <w:rPr>
          <w:rFonts w:ascii="DejaVu Serif" w:hAnsi="DejaVu Serif"/>
          <w:sz w:val="18"/>
          <w:szCs w:val="18"/>
          <w:lang w:val="es-CL"/>
        </w:rPr>
        <w:t>é</w:t>
      </w:r>
      <w:r w:rsidRPr="00414E56">
        <w:rPr>
          <w:rFonts w:ascii="DejaVu Serif" w:hAnsi="DejaVu Serif"/>
          <w:sz w:val="18"/>
          <w:szCs w:val="18"/>
          <w:lang w:val="es-CL"/>
        </w:rPr>
        <w:t>simoprimero</w:t>
      </w:r>
      <w:proofErr w:type="spellEnd"/>
      <w:r w:rsidRPr="00414E56">
        <w:rPr>
          <w:rFonts w:ascii="DejaVu Serif" w:hAnsi="DejaVu Serif"/>
          <w:sz w:val="18"/>
          <w:szCs w:val="18"/>
          <w:lang w:val="es-CL"/>
        </w:rPr>
        <w:t>.</w:t>
      </w:r>
    </w:p>
  </w:footnote>
  <w:footnote w:id="20">
    <w:p w14:paraId="50B370CD" w14:textId="275EF5A7" w:rsidR="002C01EE" w:rsidRPr="00414E56" w:rsidRDefault="002C01EE" w:rsidP="007D2538">
      <w:pPr>
        <w:pStyle w:val="Textonotapie"/>
        <w:jc w:val="both"/>
        <w:rPr>
          <w:rFonts w:ascii="DejaVu Serif" w:hAnsi="DejaVu Serif"/>
          <w:color w:val="000000" w:themeColor="text1"/>
          <w:sz w:val="18"/>
          <w:szCs w:val="18"/>
          <w:lang w:val="es-CL"/>
        </w:rPr>
      </w:pPr>
      <w:r w:rsidRPr="0068357D">
        <w:rPr>
          <w:rStyle w:val="Refdenotaalpie"/>
          <w:rFonts w:ascii="DejaVu Serif" w:hAnsi="DejaVu Serif"/>
          <w:color w:val="000000" w:themeColor="text1"/>
          <w:sz w:val="18"/>
          <w:szCs w:val="18"/>
        </w:rPr>
        <w:footnoteRef/>
      </w:r>
      <w:r w:rsidRPr="00414E56">
        <w:rPr>
          <w:rFonts w:ascii="DejaVu Serif" w:hAnsi="DejaVu Serif"/>
          <w:color w:val="000000" w:themeColor="text1"/>
          <w:sz w:val="18"/>
          <w:szCs w:val="18"/>
          <w:lang w:val="es-CL"/>
        </w:rPr>
        <w:t xml:space="preserve"> Originado en Reclamo de Ilegalidad contra</w:t>
      </w:r>
      <w:r>
        <w:rPr>
          <w:rFonts w:ascii="DejaVu Serif" w:hAnsi="DejaVu Serif"/>
          <w:color w:val="000000" w:themeColor="text1"/>
          <w:sz w:val="18"/>
          <w:szCs w:val="18"/>
          <w:lang w:val="es-CL"/>
        </w:rPr>
        <w:t xml:space="preserve"> la D</w:t>
      </w:r>
      <w:r w:rsidRPr="00414E56">
        <w:rPr>
          <w:rFonts w:ascii="DejaVu Serif" w:hAnsi="DejaVu Serif"/>
          <w:color w:val="000000" w:themeColor="text1"/>
          <w:sz w:val="18"/>
          <w:szCs w:val="18"/>
          <w:lang w:val="es-CL"/>
        </w:rPr>
        <w:t>ecisión rol C1.101-2011</w:t>
      </w:r>
      <w:r>
        <w:rPr>
          <w:rFonts w:ascii="DejaVu Serif" w:hAnsi="DejaVu Serif"/>
          <w:color w:val="000000" w:themeColor="text1"/>
          <w:sz w:val="18"/>
          <w:szCs w:val="18"/>
          <w:lang w:val="es-CL"/>
        </w:rPr>
        <w:t xml:space="preserve"> </w:t>
      </w:r>
      <w:r w:rsidRPr="00414E56">
        <w:rPr>
          <w:rFonts w:ascii="DejaVu Serif" w:hAnsi="DejaVu Serif"/>
          <w:color w:val="000000" w:themeColor="text1"/>
          <w:sz w:val="18"/>
          <w:szCs w:val="18"/>
          <w:lang w:val="es-CL"/>
        </w:rPr>
        <w:t>del Consejo para la Transparencia.</w:t>
      </w:r>
    </w:p>
  </w:footnote>
  <w:footnote w:id="21">
    <w:p w14:paraId="0EFB4F81" w14:textId="77777777" w:rsidR="002C01EE" w:rsidRPr="00414E56" w:rsidRDefault="002C01EE" w:rsidP="007D2538">
      <w:pPr>
        <w:pStyle w:val="Textonotapie"/>
        <w:jc w:val="both"/>
        <w:rPr>
          <w:rFonts w:ascii="DejaVu Serif" w:hAnsi="DejaVu Serif"/>
          <w:sz w:val="18"/>
          <w:szCs w:val="18"/>
          <w:lang w:val="es-CL"/>
        </w:rPr>
      </w:pPr>
      <w:r w:rsidRPr="0068357D">
        <w:rPr>
          <w:rStyle w:val="Refdenotaalpie"/>
          <w:rFonts w:ascii="DejaVu Serif" w:hAnsi="DejaVu Serif"/>
          <w:sz w:val="18"/>
          <w:szCs w:val="18"/>
        </w:rPr>
        <w:footnoteRef/>
      </w:r>
      <w:r w:rsidRPr="00414E56">
        <w:rPr>
          <w:rFonts w:ascii="DejaVu Serif" w:hAnsi="DejaVu Serif"/>
          <w:sz w:val="18"/>
          <w:szCs w:val="18"/>
          <w:lang w:val="es-CL"/>
        </w:rPr>
        <w:t xml:space="preserve"> Considerando </w:t>
      </w:r>
      <w:proofErr w:type="spellStart"/>
      <w:r w:rsidRPr="00414E56">
        <w:rPr>
          <w:rFonts w:ascii="DejaVu Serif" w:hAnsi="DejaVu Serif"/>
          <w:bCs/>
          <w:sz w:val="18"/>
          <w:szCs w:val="18"/>
          <w:lang w:val="es-CL"/>
        </w:rPr>
        <w:t>septuagésimocuarto</w:t>
      </w:r>
      <w:proofErr w:type="spellEnd"/>
      <w:r w:rsidRPr="00414E56">
        <w:rPr>
          <w:rFonts w:ascii="DejaVu Serif" w:hAnsi="DejaVu Serif"/>
          <w:bCs/>
          <w:sz w:val="18"/>
          <w:szCs w:val="18"/>
          <w:lang w:val="es-CL"/>
        </w:rPr>
        <w:t>.</w:t>
      </w:r>
    </w:p>
  </w:footnote>
  <w:footnote w:id="22">
    <w:p w14:paraId="5A25B1F9" w14:textId="77777777" w:rsidR="002C01EE" w:rsidRPr="00414E56" w:rsidRDefault="002C01EE" w:rsidP="00414E56">
      <w:pPr>
        <w:pStyle w:val="Textonotapie"/>
        <w:jc w:val="both"/>
        <w:rPr>
          <w:rFonts w:ascii="DejaVu Serif" w:hAnsi="DejaVu Serif"/>
          <w:color w:val="000000" w:themeColor="text1"/>
          <w:sz w:val="18"/>
          <w:szCs w:val="18"/>
          <w:lang w:val="es-CL"/>
        </w:rPr>
      </w:pPr>
      <w:r w:rsidRPr="0068357D">
        <w:rPr>
          <w:rStyle w:val="Refdenotaalpie"/>
          <w:rFonts w:ascii="DejaVu Serif" w:hAnsi="DejaVu Serif"/>
          <w:color w:val="000000" w:themeColor="text1"/>
          <w:sz w:val="18"/>
          <w:szCs w:val="18"/>
        </w:rPr>
        <w:footnoteRef/>
      </w:r>
      <w:r w:rsidRPr="00414E56">
        <w:rPr>
          <w:rFonts w:ascii="DejaVu Serif" w:hAnsi="DejaVu Serif"/>
          <w:color w:val="000000" w:themeColor="text1"/>
          <w:sz w:val="18"/>
          <w:szCs w:val="18"/>
          <w:lang w:val="es-CL"/>
        </w:rPr>
        <w:t xml:space="preserve"> Considerando decimotercero.</w:t>
      </w:r>
    </w:p>
  </w:footnote>
  <w:footnote w:id="23">
    <w:p w14:paraId="73297A71" w14:textId="77777777" w:rsidR="002C01EE" w:rsidRPr="00414E56" w:rsidRDefault="002C01EE" w:rsidP="00414E56">
      <w:pPr>
        <w:pStyle w:val="Textonotapie"/>
        <w:jc w:val="both"/>
        <w:rPr>
          <w:rFonts w:ascii="DejaVu Serif" w:hAnsi="DejaVu Serif"/>
          <w:color w:val="000000" w:themeColor="text1"/>
          <w:sz w:val="18"/>
          <w:szCs w:val="18"/>
          <w:lang w:val="es-CL"/>
        </w:rPr>
      </w:pPr>
      <w:r w:rsidRPr="00067BF3">
        <w:rPr>
          <w:rStyle w:val="Refdenotaalpie"/>
          <w:rFonts w:ascii="DejaVu Serif" w:hAnsi="DejaVu Serif"/>
          <w:color w:val="000000" w:themeColor="text1"/>
          <w:sz w:val="18"/>
          <w:szCs w:val="18"/>
        </w:rPr>
        <w:footnoteRef/>
      </w:r>
      <w:r w:rsidRPr="00414E56">
        <w:rPr>
          <w:rFonts w:ascii="DejaVu Serif" w:hAnsi="DejaVu Serif"/>
          <w:color w:val="000000" w:themeColor="text1"/>
          <w:sz w:val="18"/>
          <w:szCs w:val="18"/>
          <w:lang w:val="es-CL"/>
        </w:rPr>
        <w:t xml:space="preserve"> Considerando octavo.</w:t>
      </w:r>
    </w:p>
  </w:footnote>
  <w:footnote w:id="24">
    <w:p w14:paraId="194B2ADA" w14:textId="0AF4231E" w:rsidR="002C01EE" w:rsidRPr="00414E56" w:rsidRDefault="002C01EE" w:rsidP="00414E56">
      <w:pPr>
        <w:pStyle w:val="Textonotapie"/>
        <w:rPr>
          <w:rFonts w:ascii="DejaVu Serif" w:hAnsi="DejaVu Serif"/>
          <w:sz w:val="18"/>
          <w:szCs w:val="18"/>
          <w:lang w:val="es-CL"/>
        </w:rPr>
      </w:pPr>
      <w:r w:rsidRPr="00067BF3">
        <w:rPr>
          <w:rStyle w:val="Refdenotaalpie"/>
          <w:rFonts w:ascii="DejaVu Serif" w:hAnsi="DejaVu Serif"/>
          <w:sz w:val="18"/>
          <w:szCs w:val="18"/>
        </w:rPr>
        <w:footnoteRef/>
      </w:r>
      <w:r w:rsidRPr="00414E56">
        <w:rPr>
          <w:rFonts w:ascii="DejaVu Serif" w:hAnsi="DejaVu Serif"/>
          <w:sz w:val="18"/>
          <w:szCs w:val="18"/>
          <w:lang w:val="es-CL"/>
        </w:rPr>
        <w:t xml:space="preserve"> Considerando </w:t>
      </w:r>
      <w:proofErr w:type="spellStart"/>
      <w:r>
        <w:rPr>
          <w:rFonts w:ascii="DejaVu Serif" w:hAnsi="DejaVu Serif"/>
          <w:bCs/>
          <w:sz w:val="18"/>
          <w:szCs w:val="18"/>
          <w:lang w:val="es-CL"/>
        </w:rPr>
        <w:t>cuadragé</w:t>
      </w:r>
      <w:r w:rsidRPr="00414E56">
        <w:rPr>
          <w:rFonts w:ascii="DejaVu Serif" w:hAnsi="DejaVu Serif"/>
          <w:bCs/>
          <w:sz w:val="18"/>
          <w:szCs w:val="18"/>
          <w:lang w:val="es-CL"/>
        </w:rPr>
        <w:t>simos</w:t>
      </w:r>
      <w:r>
        <w:rPr>
          <w:rFonts w:ascii="DejaVu Serif" w:hAnsi="DejaVu Serif"/>
          <w:bCs/>
          <w:sz w:val="18"/>
          <w:szCs w:val="18"/>
          <w:lang w:val="es-CL"/>
        </w:rPr>
        <w:t>e</w:t>
      </w:r>
      <w:r w:rsidRPr="00414E56">
        <w:rPr>
          <w:rFonts w:ascii="DejaVu Serif" w:hAnsi="DejaVu Serif"/>
          <w:bCs/>
          <w:sz w:val="18"/>
          <w:szCs w:val="18"/>
          <w:lang w:val="es-CL"/>
        </w:rPr>
        <w:t>ptimo</w:t>
      </w:r>
      <w:proofErr w:type="spellEnd"/>
      <w:r w:rsidRPr="00414E56">
        <w:rPr>
          <w:rFonts w:ascii="DejaVu Serif" w:hAnsi="DejaVu Serif"/>
          <w:bCs/>
          <w:sz w:val="18"/>
          <w:szCs w:val="18"/>
          <w:lang w:val="es-CL"/>
        </w:rPr>
        <w:t>.</w:t>
      </w:r>
    </w:p>
  </w:footnote>
  <w:footnote w:id="25">
    <w:p w14:paraId="73B7B2F3" w14:textId="5B733CF6" w:rsidR="002C01EE" w:rsidRPr="00414E56" w:rsidRDefault="002C01EE" w:rsidP="00414E56">
      <w:pPr>
        <w:pStyle w:val="Textonotapie"/>
        <w:rPr>
          <w:lang w:val="es-CL"/>
        </w:rPr>
      </w:pPr>
      <w:r w:rsidRPr="00067BF3">
        <w:rPr>
          <w:rStyle w:val="Refdenotaalpie"/>
          <w:rFonts w:ascii="DejaVu Serif" w:hAnsi="DejaVu Serif"/>
          <w:sz w:val="18"/>
          <w:szCs w:val="18"/>
        </w:rPr>
        <w:footnoteRef/>
      </w:r>
      <w:r>
        <w:rPr>
          <w:rFonts w:ascii="DejaVu Serif" w:hAnsi="DejaVu Serif"/>
          <w:sz w:val="18"/>
          <w:szCs w:val="18"/>
          <w:lang w:val="es-CL"/>
        </w:rPr>
        <w:t xml:space="preserve"> Considerando </w:t>
      </w:r>
      <w:proofErr w:type="spellStart"/>
      <w:r>
        <w:rPr>
          <w:rFonts w:ascii="DejaVu Serif" w:hAnsi="DejaVu Serif"/>
          <w:sz w:val="18"/>
          <w:szCs w:val="18"/>
          <w:lang w:val="es-CL"/>
        </w:rPr>
        <w:t>cuadragé</w:t>
      </w:r>
      <w:r w:rsidRPr="00414E56">
        <w:rPr>
          <w:rFonts w:ascii="DejaVu Serif" w:hAnsi="DejaVu Serif"/>
          <w:sz w:val="18"/>
          <w:szCs w:val="18"/>
          <w:lang w:val="es-CL"/>
        </w:rPr>
        <w:t>simooctavo</w:t>
      </w:r>
      <w:proofErr w:type="spellEnd"/>
      <w:r w:rsidRPr="00414E56">
        <w:rPr>
          <w:rFonts w:ascii="DejaVu Serif" w:hAnsi="DejaVu Serif"/>
          <w:sz w:val="18"/>
          <w:szCs w:val="18"/>
          <w:lang w:val="es-C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A7F61" w14:textId="77777777" w:rsidR="002C01EE" w:rsidRDefault="002C01EE"/>
  <w:tbl>
    <w:tblPr>
      <w:tblW w:w="5454" w:type="pct"/>
      <w:jc w:val="center"/>
      <w:tblCellMar>
        <w:left w:w="0" w:type="dxa"/>
        <w:right w:w="0" w:type="dxa"/>
      </w:tblCellMar>
      <w:tblLook w:val="04A0" w:firstRow="1" w:lastRow="0" w:firstColumn="1" w:lastColumn="0" w:noHBand="0" w:noVBand="1"/>
    </w:tblPr>
    <w:tblGrid>
      <w:gridCol w:w="5746"/>
      <w:gridCol w:w="5749"/>
    </w:tblGrid>
    <w:tr w:rsidR="002C01EE" w:rsidRPr="001705FA" w14:paraId="7747236D" w14:textId="77777777" w:rsidTr="001705FA">
      <w:trPr>
        <w:jc w:val="center"/>
      </w:trPr>
      <w:tc>
        <w:tcPr>
          <w:tcW w:w="5746" w:type="dxa"/>
          <w:shd w:val="clear" w:color="auto" w:fill="auto"/>
        </w:tcPr>
        <w:p w14:paraId="1E35766B" w14:textId="5ED5865C" w:rsidR="002C01EE" w:rsidRPr="001705FA" w:rsidRDefault="002C01EE" w:rsidP="00613C29">
          <w:pPr>
            <w:pStyle w:val="IssueNumber"/>
            <w:rPr>
              <w:lang w:val="es-CL"/>
            </w:rPr>
          </w:pPr>
          <w:r w:rsidRPr="001705FA">
            <w:rPr>
              <w:lang w:val="es-CL"/>
            </w:rPr>
            <w:t xml:space="preserve">BIBLIOTECA DEL CONGRESO NACIONAL DE CHILE| </w:t>
          </w:r>
        </w:p>
      </w:tc>
      <w:tc>
        <w:tcPr>
          <w:tcW w:w="5748" w:type="dxa"/>
          <w:shd w:val="clear" w:color="auto" w:fill="auto"/>
        </w:tcPr>
        <w:p w14:paraId="040CB9F8" w14:textId="77777777" w:rsidR="002C01EE" w:rsidRPr="001705FA" w:rsidRDefault="002C01EE" w:rsidP="001705FA">
          <w:pPr>
            <w:pStyle w:val="Encabezado"/>
            <w:ind w:right="384"/>
            <w:jc w:val="right"/>
            <w:rPr>
              <w:rStyle w:val="Nmerodepgina"/>
              <w:rFonts w:ascii="DejaVu Sans Condensed" w:hAnsi="DejaVu Sans Condensed" w:cs="DejaVu Sans Condensed"/>
              <w:sz w:val="18"/>
              <w:szCs w:val="18"/>
            </w:rPr>
          </w:pPr>
          <w:r w:rsidRPr="001705FA">
            <w:rPr>
              <w:rFonts w:ascii="DejaVu Sans Condensed" w:hAnsi="DejaVu Sans Condensed" w:cs="DejaVu Sans Condensed"/>
              <w:color w:val="A6A6A6"/>
              <w:sz w:val="18"/>
              <w:szCs w:val="18"/>
            </w:rPr>
            <w:fldChar w:fldCharType="begin"/>
          </w:r>
          <w:r w:rsidRPr="001705FA">
            <w:rPr>
              <w:rFonts w:ascii="DejaVu Sans Condensed" w:hAnsi="DejaVu Sans Condensed" w:cs="DejaVu Sans Condensed"/>
              <w:color w:val="A6A6A6"/>
              <w:sz w:val="18"/>
              <w:szCs w:val="18"/>
            </w:rPr>
            <w:instrText xml:space="preserve"> PAGE   \* MERGEFORMAT </w:instrText>
          </w:r>
          <w:r w:rsidRPr="001705FA">
            <w:rPr>
              <w:rFonts w:ascii="DejaVu Sans Condensed" w:hAnsi="DejaVu Sans Condensed" w:cs="DejaVu Sans Condensed"/>
              <w:color w:val="A6A6A6"/>
              <w:sz w:val="18"/>
              <w:szCs w:val="18"/>
            </w:rPr>
            <w:fldChar w:fldCharType="separate"/>
          </w:r>
          <w:r w:rsidR="00613C29">
            <w:rPr>
              <w:rFonts w:ascii="DejaVu Sans Condensed" w:hAnsi="DejaVu Sans Condensed" w:cs="DejaVu Sans Condensed"/>
              <w:noProof/>
              <w:color w:val="A6A6A6"/>
              <w:sz w:val="18"/>
              <w:szCs w:val="18"/>
            </w:rPr>
            <w:t>12</w:t>
          </w:r>
          <w:r w:rsidRPr="001705FA">
            <w:rPr>
              <w:rFonts w:ascii="DejaVu Sans Condensed" w:hAnsi="DejaVu Sans Condensed" w:cs="DejaVu Sans Condensed"/>
              <w:noProof/>
              <w:color w:val="A6A6A6"/>
              <w:sz w:val="18"/>
              <w:szCs w:val="18"/>
            </w:rPr>
            <w:fldChar w:fldCharType="end"/>
          </w:r>
        </w:p>
      </w:tc>
    </w:tr>
  </w:tbl>
  <w:p w14:paraId="7F26FF9C" w14:textId="77777777" w:rsidR="002C01EE" w:rsidRDefault="002C01EE">
    <w:pPr>
      <w:pStyle w:val="Sinespaciado"/>
      <w:ind w:left="-218"/>
    </w:pPr>
  </w:p>
  <w:p w14:paraId="1628FCFC" w14:textId="77777777" w:rsidR="002C01EE" w:rsidRDefault="002C01EE">
    <w:pPr>
      <w:pStyle w:val="Sinespaciado"/>
      <w:ind w:left="-218"/>
    </w:pPr>
  </w:p>
  <w:p w14:paraId="3D7E0605" w14:textId="77777777" w:rsidR="002C01EE" w:rsidRDefault="002C01EE">
    <w:pPr>
      <w:pStyle w:val="Sinespaci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9" w:type="dxa"/>
      <w:tblInd w:w="-202" w:type="dxa"/>
      <w:tblCellMar>
        <w:left w:w="0" w:type="dxa"/>
        <w:right w:w="0" w:type="dxa"/>
      </w:tblCellMar>
      <w:tblLook w:val="04A0" w:firstRow="1" w:lastRow="0" w:firstColumn="1" w:lastColumn="0" w:noHBand="0" w:noVBand="1"/>
    </w:tblPr>
    <w:tblGrid>
      <w:gridCol w:w="5745"/>
      <w:gridCol w:w="5514"/>
    </w:tblGrid>
    <w:tr w:rsidR="002C01EE" w:rsidRPr="00613C29" w14:paraId="394B9DD1" w14:textId="77777777" w:rsidTr="001705FA">
      <w:trPr>
        <w:cantSplit/>
      </w:trPr>
      <w:tc>
        <w:tcPr>
          <w:tcW w:w="5745" w:type="dxa"/>
          <w:shd w:val="clear" w:color="auto" w:fill="auto"/>
          <w:vAlign w:val="bottom"/>
        </w:tcPr>
        <w:p w14:paraId="407AE636" w14:textId="77777777" w:rsidR="002C01EE" w:rsidRPr="001705FA" w:rsidRDefault="002C01EE" w:rsidP="007A0E9C">
          <w:pPr>
            <w:pStyle w:val="Encabezado"/>
            <w:rPr>
              <w:rFonts w:ascii="DejaVu Sans Condensed" w:hAnsi="DejaVu Sans Condensed" w:cs="DejaVu Sans Condensed"/>
              <w:noProof/>
              <w:color w:val="FF0000"/>
              <w:sz w:val="18"/>
              <w:szCs w:val="18"/>
              <w:lang w:val="es-ES_tradnl"/>
            </w:rPr>
          </w:pPr>
          <w:r w:rsidRPr="001705FA">
            <w:rPr>
              <w:rFonts w:ascii="DejaVu Sans Condensed" w:hAnsi="DejaVu Sans Condensed" w:cs="DejaVu Sans Condensed"/>
              <w:noProof/>
              <w:color w:val="FF0000"/>
              <w:sz w:val="18"/>
              <w:szCs w:val="18"/>
              <w:lang w:val="es-CL"/>
            </w:rPr>
            <w:t>BIBLIOTECA DEL CONGRESO NACIONAL DE CHILE</w:t>
          </w:r>
        </w:p>
      </w:tc>
      <w:tc>
        <w:tcPr>
          <w:tcW w:w="5514" w:type="dxa"/>
          <w:shd w:val="clear" w:color="auto" w:fill="auto"/>
          <w:vAlign w:val="bottom"/>
        </w:tcPr>
        <w:p w14:paraId="45DE82D4" w14:textId="77777777" w:rsidR="002C01EE" w:rsidRPr="001705FA" w:rsidRDefault="002C01EE" w:rsidP="00D24069">
          <w:pPr>
            <w:pStyle w:val="IssueNumber"/>
            <w:rPr>
              <w:rFonts w:ascii="DejaVu Sans Condensed" w:hAnsi="DejaVu Sans Condensed" w:cs="DejaVu Sans Condensed"/>
              <w:noProof/>
              <w:sz w:val="18"/>
              <w:szCs w:val="18"/>
              <w:lang w:val="es-ES_tradnl"/>
            </w:rPr>
          </w:pPr>
        </w:p>
        <w:p w14:paraId="044DD75C" w14:textId="77777777" w:rsidR="002C01EE" w:rsidRPr="001705FA" w:rsidRDefault="002C01EE" w:rsidP="00D24069">
          <w:pPr>
            <w:pStyle w:val="IssueNumber"/>
            <w:rPr>
              <w:rFonts w:ascii="DejaVu Sans Condensed" w:hAnsi="DejaVu Sans Condensed" w:cs="DejaVu Sans Condensed"/>
              <w:noProof/>
              <w:sz w:val="18"/>
              <w:szCs w:val="18"/>
              <w:lang w:val="es-ES_tradnl"/>
            </w:rPr>
          </w:pPr>
        </w:p>
      </w:tc>
    </w:tr>
    <w:tr w:rsidR="002C01EE" w:rsidRPr="00613C29" w14:paraId="67CA026A" w14:textId="77777777" w:rsidTr="001705FA">
      <w:trPr>
        <w:cantSplit/>
      </w:trPr>
      <w:tc>
        <w:tcPr>
          <w:tcW w:w="5745" w:type="dxa"/>
          <w:shd w:val="clear" w:color="auto" w:fill="auto"/>
          <w:vAlign w:val="bottom"/>
        </w:tcPr>
        <w:p w14:paraId="24F23A03" w14:textId="77777777" w:rsidR="002C01EE" w:rsidRPr="001705FA" w:rsidRDefault="002C01EE" w:rsidP="007A0E9C">
          <w:pPr>
            <w:pStyle w:val="Encabezado"/>
            <w:rPr>
              <w:noProof/>
              <w:color w:val="FF0000"/>
              <w:lang w:val="es-ES_tradnl"/>
            </w:rPr>
          </w:pPr>
        </w:p>
      </w:tc>
      <w:tc>
        <w:tcPr>
          <w:tcW w:w="5514" w:type="dxa"/>
          <w:shd w:val="clear" w:color="auto" w:fill="auto"/>
          <w:vAlign w:val="bottom"/>
        </w:tcPr>
        <w:p w14:paraId="7BA84BD2" w14:textId="77777777" w:rsidR="002C01EE" w:rsidRPr="001705FA" w:rsidRDefault="002C01EE" w:rsidP="007A0E9C">
          <w:pPr>
            <w:pStyle w:val="IssueNumber"/>
            <w:rPr>
              <w:noProof/>
              <w:lang w:val="es-ES_tradnl"/>
            </w:rPr>
          </w:pPr>
        </w:p>
        <w:p w14:paraId="0271A31D" w14:textId="77777777" w:rsidR="002C01EE" w:rsidRPr="001705FA" w:rsidRDefault="002C01EE" w:rsidP="008D2208">
          <w:pPr>
            <w:pStyle w:val="IssueNumber"/>
            <w:rPr>
              <w:noProof/>
              <w:sz w:val="24"/>
              <w:szCs w:val="24"/>
              <w:lang w:val="es-ES_tradnl"/>
            </w:rPr>
          </w:pPr>
        </w:p>
        <w:p w14:paraId="5C8B51B2" w14:textId="77777777" w:rsidR="002C01EE" w:rsidRPr="001705FA" w:rsidRDefault="002C01EE" w:rsidP="007A0E9C">
          <w:pPr>
            <w:pStyle w:val="IssueNumber"/>
            <w:rPr>
              <w:noProof/>
              <w:lang w:val="es-ES_tradnl"/>
            </w:rPr>
          </w:pPr>
        </w:p>
      </w:tc>
    </w:tr>
  </w:tbl>
  <w:p w14:paraId="4BCB8ACD" w14:textId="77777777" w:rsidR="002C01EE" w:rsidRPr="008779FC" w:rsidRDefault="002C01EE">
    <w:pPr>
      <w:pStyle w:val="Sinespaci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28CF68"/>
    <w:lvl w:ilvl="0">
      <w:start w:val="1"/>
      <w:numFmt w:val="decimal"/>
      <w:pStyle w:val="Listaconnmeros"/>
      <w:lvlText w:val="%1."/>
      <w:lvlJc w:val="left"/>
      <w:pPr>
        <w:tabs>
          <w:tab w:val="num" w:pos="360"/>
        </w:tabs>
        <w:ind w:left="360" w:hanging="360"/>
      </w:pPr>
    </w:lvl>
  </w:abstractNum>
  <w:abstractNum w:abstractNumId="1" w15:restartNumberingAfterBreak="0">
    <w:nsid w:val="FFFFFF89"/>
    <w:multiLevelType w:val="singleLevel"/>
    <w:tmpl w:val="71B46930"/>
    <w:lvl w:ilvl="0">
      <w:start w:val="1"/>
      <w:numFmt w:val="bullet"/>
      <w:pStyle w:val="Listaconvietas"/>
      <w:lvlText w:val="Ü"/>
      <w:lvlJc w:val="left"/>
      <w:pPr>
        <w:ind w:left="360" w:hanging="360"/>
      </w:pPr>
      <w:rPr>
        <w:rFonts w:ascii="Wingdings" w:hAnsi="Wingdings" w:hint="default"/>
        <w:color w:val="FF5C0B"/>
      </w:rPr>
    </w:lvl>
  </w:abstractNum>
  <w:abstractNum w:abstractNumId="2" w15:restartNumberingAfterBreak="0">
    <w:nsid w:val="03B562F0"/>
    <w:multiLevelType w:val="hybridMultilevel"/>
    <w:tmpl w:val="D8E8F9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8FB2ACD"/>
    <w:multiLevelType w:val="hybridMultilevel"/>
    <w:tmpl w:val="14BE2F9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FD62CFF"/>
    <w:multiLevelType w:val="hybridMultilevel"/>
    <w:tmpl w:val="3B6E499A"/>
    <w:lvl w:ilvl="0" w:tplc="F636186E">
      <w:start w:val="1"/>
      <w:numFmt w:val="bullet"/>
      <w:pStyle w:val="Listaconvietas2"/>
      <w:lvlText w:val="Ü"/>
      <w:lvlJc w:val="left"/>
      <w:pPr>
        <w:ind w:left="360" w:hanging="360"/>
      </w:pPr>
      <w:rPr>
        <w:rFonts w:ascii="Wingdings" w:hAnsi="Wingdings" w:hint="default"/>
        <w:color w:val="FFA8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870A7D"/>
    <w:multiLevelType w:val="hybridMultilevel"/>
    <w:tmpl w:val="721AE06A"/>
    <w:lvl w:ilvl="0" w:tplc="8E02654C">
      <w:start w:val="1"/>
      <w:numFmt w:val="decimal"/>
      <w:lvlText w:val="%1."/>
      <w:lvlJc w:val="left"/>
      <w:pPr>
        <w:ind w:left="855" w:hanging="360"/>
      </w:pPr>
      <w:rPr>
        <w:rFonts w:hint="default"/>
      </w:rPr>
    </w:lvl>
    <w:lvl w:ilvl="1" w:tplc="340A0019" w:tentative="1">
      <w:start w:val="1"/>
      <w:numFmt w:val="lowerLetter"/>
      <w:lvlText w:val="%2."/>
      <w:lvlJc w:val="left"/>
      <w:pPr>
        <w:ind w:left="1575" w:hanging="360"/>
      </w:pPr>
    </w:lvl>
    <w:lvl w:ilvl="2" w:tplc="340A001B" w:tentative="1">
      <w:start w:val="1"/>
      <w:numFmt w:val="lowerRoman"/>
      <w:lvlText w:val="%3."/>
      <w:lvlJc w:val="right"/>
      <w:pPr>
        <w:ind w:left="2295" w:hanging="180"/>
      </w:pPr>
    </w:lvl>
    <w:lvl w:ilvl="3" w:tplc="340A000F" w:tentative="1">
      <w:start w:val="1"/>
      <w:numFmt w:val="decimal"/>
      <w:lvlText w:val="%4."/>
      <w:lvlJc w:val="left"/>
      <w:pPr>
        <w:ind w:left="3015" w:hanging="360"/>
      </w:pPr>
    </w:lvl>
    <w:lvl w:ilvl="4" w:tplc="340A0019" w:tentative="1">
      <w:start w:val="1"/>
      <w:numFmt w:val="lowerLetter"/>
      <w:lvlText w:val="%5."/>
      <w:lvlJc w:val="left"/>
      <w:pPr>
        <w:ind w:left="3735" w:hanging="360"/>
      </w:pPr>
    </w:lvl>
    <w:lvl w:ilvl="5" w:tplc="340A001B" w:tentative="1">
      <w:start w:val="1"/>
      <w:numFmt w:val="lowerRoman"/>
      <w:lvlText w:val="%6."/>
      <w:lvlJc w:val="right"/>
      <w:pPr>
        <w:ind w:left="4455" w:hanging="180"/>
      </w:pPr>
    </w:lvl>
    <w:lvl w:ilvl="6" w:tplc="340A000F" w:tentative="1">
      <w:start w:val="1"/>
      <w:numFmt w:val="decimal"/>
      <w:lvlText w:val="%7."/>
      <w:lvlJc w:val="left"/>
      <w:pPr>
        <w:ind w:left="5175" w:hanging="360"/>
      </w:pPr>
    </w:lvl>
    <w:lvl w:ilvl="7" w:tplc="340A0019" w:tentative="1">
      <w:start w:val="1"/>
      <w:numFmt w:val="lowerLetter"/>
      <w:lvlText w:val="%8."/>
      <w:lvlJc w:val="left"/>
      <w:pPr>
        <w:ind w:left="5895" w:hanging="360"/>
      </w:pPr>
    </w:lvl>
    <w:lvl w:ilvl="8" w:tplc="340A001B" w:tentative="1">
      <w:start w:val="1"/>
      <w:numFmt w:val="lowerRoman"/>
      <w:lvlText w:val="%9."/>
      <w:lvlJc w:val="right"/>
      <w:pPr>
        <w:ind w:left="6615" w:hanging="180"/>
      </w:pPr>
    </w:lvl>
  </w:abstractNum>
  <w:abstractNum w:abstractNumId="6" w15:restartNumberingAfterBreak="0">
    <w:nsid w:val="19DD678E"/>
    <w:multiLevelType w:val="hybridMultilevel"/>
    <w:tmpl w:val="DBB08F8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487198B"/>
    <w:multiLevelType w:val="hybridMultilevel"/>
    <w:tmpl w:val="5A9C9E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D815753"/>
    <w:multiLevelType w:val="hybridMultilevel"/>
    <w:tmpl w:val="A4BE9D9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E801FAC"/>
    <w:multiLevelType w:val="hybridMultilevel"/>
    <w:tmpl w:val="5E1836F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FB27C0C"/>
    <w:multiLevelType w:val="multilevel"/>
    <w:tmpl w:val="49140424"/>
    <w:lvl w:ilvl="0">
      <w:start w:val="1"/>
      <w:numFmt w:val="decimal"/>
      <w:pStyle w:val="TtuloTablas"/>
      <w:lvlText w:val="Tabla %1."/>
      <w:lvlJc w:val="left"/>
      <w:pPr>
        <w:tabs>
          <w:tab w:val="num" w:pos="360"/>
        </w:tabs>
        <w:ind w:left="360" w:hanging="360"/>
      </w:pPr>
      <w:rPr>
        <w:rFonts w:ascii="Verdana" w:hAnsi="Verdana"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hint="default"/>
        <w:b/>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5AE1445"/>
    <w:multiLevelType w:val="hybridMultilevel"/>
    <w:tmpl w:val="A79466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7AB5C24"/>
    <w:multiLevelType w:val="hybridMultilevel"/>
    <w:tmpl w:val="7B4A35FE"/>
    <w:lvl w:ilvl="0" w:tplc="98FEBDC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C8F03B8"/>
    <w:multiLevelType w:val="hybridMultilevel"/>
    <w:tmpl w:val="A2F8711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557665C"/>
    <w:multiLevelType w:val="hybridMultilevel"/>
    <w:tmpl w:val="52D8838C"/>
    <w:lvl w:ilvl="0" w:tplc="5B7C042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0"/>
  </w:num>
  <w:num w:numId="5">
    <w:abstractNumId w:val="2"/>
  </w:num>
  <w:num w:numId="6">
    <w:abstractNumId w:val="6"/>
  </w:num>
  <w:num w:numId="7">
    <w:abstractNumId w:val="13"/>
  </w:num>
  <w:num w:numId="8">
    <w:abstractNumId w:val="8"/>
  </w:num>
  <w:num w:numId="9">
    <w:abstractNumId w:val="7"/>
  </w:num>
  <w:num w:numId="10">
    <w:abstractNumId w:val="5"/>
  </w:num>
  <w:num w:numId="11">
    <w:abstractNumId w:val="3"/>
  </w:num>
  <w:num w:numId="12">
    <w:abstractNumId w:val="14"/>
  </w:num>
  <w:num w:numId="13">
    <w:abstractNumId w:val="12"/>
  </w:num>
  <w:num w:numId="14">
    <w:abstractNumId w:val="9"/>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A6"/>
    <w:rsid w:val="0001065E"/>
    <w:rsid w:val="000113B2"/>
    <w:rsid w:val="00033E4B"/>
    <w:rsid w:val="00041E26"/>
    <w:rsid w:val="000617F6"/>
    <w:rsid w:val="0006741E"/>
    <w:rsid w:val="00087529"/>
    <w:rsid w:val="000A29F9"/>
    <w:rsid w:val="000A769D"/>
    <w:rsid w:val="000B115B"/>
    <w:rsid w:val="000B5385"/>
    <w:rsid w:val="000C1E1B"/>
    <w:rsid w:val="000D1607"/>
    <w:rsid w:val="000D5589"/>
    <w:rsid w:val="000E0017"/>
    <w:rsid w:val="000F53EF"/>
    <w:rsid w:val="001016EA"/>
    <w:rsid w:val="00126B97"/>
    <w:rsid w:val="00127F81"/>
    <w:rsid w:val="00135341"/>
    <w:rsid w:val="00135916"/>
    <w:rsid w:val="00137ECA"/>
    <w:rsid w:val="00152417"/>
    <w:rsid w:val="001531FD"/>
    <w:rsid w:val="00161FF9"/>
    <w:rsid w:val="001705FA"/>
    <w:rsid w:val="00184E0D"/>
    <w:rsid w:val="001855E6"/>
    <w:rsid w:val="001A4F65"/>
    <w:rsid w:val="001A752C"/>
    <w:rsid w:val="001C6080"/>
    <w:rsid w:val="001E37EE"/>
    <w:rsid w:val="001F2549"/>
    <w:rsid w:val="00201025"/>
    <w:rsid w:val="00202CE5"/>
    <w:rsid w:val="002162A2"/>
    <w:rsid w:val="0022227E"/>
    <w:rsid w:val="0022479B"/>
    <w:rsid w:val="00225A3F"/>
    <w:rsid w:val="00231FAD"/>
    <w:rsid w:val="00234582"/>
    <w:rsid w:val="00242A81"/>
    <w:rsid w:val="00250338"/>
    <w:rsid w:val="00250943"/>
    <w:rsid w:val="00257DB7"/>
    <w:rsid w:val="00271C5E"/>
    <w:rsid w:val="0027226E"/>
    <w:rsid w:val="0027566F"/>
    <w:rsid w:val="0028216D"/>
    <w:rsid w:val="002853F5"/>
    <w:rsid w:val="002A4ACB"/>
    <w:rsid w:val="002A54BD"/>
    <w:rsid w:val="002B217C"/>
    <w:rsid w:val="002B4DE6"/>
    <w:rsid w:val="002B4FD8"/>
    <w:rsid w:val="002B7218"/>
    <w:rsid w:val="002B7278"/>
    <w:rsid w:val="002C01EE"/>
    <w:rsid w:val="002D0914"/>
    <w:rsid w:val="002D1B7C"/>
    <w:rsid w:val="002E373D"/>
    <w:rsid w:val="002F0580"/>
    <w:rsid w:val="002F4687"/>
    <w:rsid w:val="00304592"/>
    <w:rsid w:val="003149B7"/>
    <w:rsid w:val="00314C15"/>
    <w:rsid w:val="003157F2"/>
    <w:rsid w:val="00315958"/>
    <w:rsid w:val="003161D5"/>
    <w:rsid w:val="003228AC"/>
    <w:rsid w:val="00325EF9"/>
    <w:rsid w:val="0033740B"/>
    <w:rsid w:val="003405A4"/>
    <w:rsid w:val="003458EF"/>
    <w:rsid w:val="00351BE7"/>
    <w:rsid w:val="003577A1"/>
    <w:rsid w:val="00357B76"/>
    <w:rsid w:val="00363CB9"/>
    <w:rsid w:val="00366A8F"/>
    <w:rsid w:val="00370C00"/>
    <w:rsid w:val="003810A5"/>
    <w:rsid w:val="003A326E"/>
    <w:rsid w:val="003B191C"/>
    <w:rsid w:val="003B30A4"/>
    <w:rsid w:val="003B5B58"/>
    <w:rsid w:val="003C676E"/>
    <w:rsid w:val="003E313D"/>
    <w:rsid w:val="004003F4"/>
    <w:rsid w:val="00400D5C"/>
    <w:rsid w:val="00406A7B"/>
    <w:rsid w:val="004138D4"/>
    <w:rsid w:val="00414E56"/>
    <w:rsid w:val="00430E55"/>
    <w:rsid w:val="0043366D"/>
    <w:rsid w:val="004467B7"/>
    <w:rsid w:val="00463417"/>
    <w:rsid w:val="00463C08"/>
    <w:rsid w:val="00490DA9"/>
    <w:rsid w:val="004A72D2"/>
    <w:rsid w:val="004B085F"/>
    <w:rsid w:val="004B5595"/>
    <w:rsid w:val="004D3398"/>
    <w:rsid w:val="004E6355"/>
    <w:rsid w:val="0050045D"/>
    <w:rsid w:val="00501477"/>
    <w:rsid w:val="00516240"/>
    <w:rsid w:val="005242DA"/>
    <w:rsid w:val="0052656C"/>
    <w:rsid w:val="005345D2"/>
    <w:rsid w:val="005612B0"/>
    <w:rsid w:val="00567CC7"/>
    <w:rsid w:val="00597A95"/>
    <w:rsid w:val="005A0657"/>
    <w:rsid w:val="005A09BA"/>
    <w:rsid w:val="005B654B"/>
    <w:rsid w:val="005C44E1"/>
    <w:rsid w:val="005D13EE"/>
    <w:rsid w:val="005D170B"/>
    <w:rsid w:val="005E7568"/>
    <w:rsid w:val="005F2FB1"/>
    <w:rsid w:val="005F41BB"/>
    <w:rsid w:val="005F673E"/>
    <w:rsid w:val="00613919"/>
    <w:rsid w:val="00613C29"/>
    <w:rsid w:val="00616425"/>
    <w:rsid w:val="00616F94"/>
    <w:rsid w:val="00623D9F"/>
    <w:rsid w:val="00643235"/>
    <w:rsid w:val="00643553"/>
    <w:rsid w:val="00651980"/>
    <w:rsid w:val="00680945"/>
    <w:rsid w:val="0069628F"/>
    <w:rsid w:val="006A34C9"/>
    <w:rsid w:val="006C0CF6"/>
    <w:rsid w:val="006C177D"/>
    <w:rsid w:val="006C550E"/>
    <w:rsid w:val="006C68B5"/>
    <w:rsid w:val="006E16C1"/>
    <w:rsid w:val="006F1C6C"/>
    <w:rsid w:val="006F1E40"/>
    <w:rsid w:val="006F4DDE"/>
    <w:rsid w:val="006F6D4C"/>
    <w:rsid w:val="00712144"/>
    <w:rsid w:val="00733CEF"/>
    <w:rsid w:val="00741E56"/>
    <w:rsid w:val="00744087"/>
    <w:rsid w:val="00773EF2"/>
    <w:rsid w:val="007869EF"/>
    <w:rsid w:val="00792A34"/>
    <w:rsid w:val="00797CD0"/>
    <w:rsid w:val="007A0E9C"/>
    <w:rsid w:val="007A2837"/>
    <w:rsid w:val="007A2AD4"/>
    <w:rsid w:val="007A5445"/>
    <w:rsid w:val="007B09C7"/>
    <w:rsid w:val="007B4EED"/>
    <w:rsid w:val="007B577F"/>
    <w:rsid w:val="007C6833"/>
    <w:rsid w:val="007D2538"/>
    <w:rsid w:val="007D54B6"/>
    <w:rsid w:val="007E702E"/>
    <w:rsid w:val="00806BBA"/>
    <w:rsid w:val="00810360"/>
    <w:rsid w:val="00830AE8"/>
    <w:rsid w:val="0083206B"/>
    <w:rsid w:val="0083786F"/>
    <w:rsid w:val="00841094"/>
    <w:rsid w:val="00856C48"/>
    <w:rsid w:val="008779FC"/>
    <w:rsid w:val="00885AA6"/>
    <w:rsid w:val="00887A64"/>
    <w:rsid w:val="008C55B4"/>
    <w:rsid w:val="008D2208"/>
    <w:rsid w:val="008E65D4"/>
    <w:rsid w:val="008F254F"/>
    <w:rsid w:val="00903596"/>
    <w:rsid w:val="00913594"/>
    <w:rsid w:val="00925F3C"/>
    <w:rsid w:val="00934847"/>
    <w:rsid w:val="009415CD"/>
    <w:rsid w:val="009448A9"/>
    <w:rsid w:val="00946671"/>
    <w:rsid w:val="00971F06"/>
    <w:rsid w:val="00974178"/>
    <w:rsid w:val="00974369"/>
    <w:rsid w:val="0097436E"/>
    <w:rsid w:val="00976456"/>
    <w:rsid w:val="009974A8"/>
    <w:rsid w:val="009A5EDE"/>
    <w:rsid w:val="009B29AF"/>
    <w:rsid w:val="009B4F28"/>
    <w:rsid w:val="009C10AD"/>
    <w:rsid w:val="00A0427D"/>
    <w:rsid w:val="00A05F31"/>
    <w:rsid w:val="00A06DB3"/>
    <w:rsid w:val="00A13A65"/>
    <w:rsid w:val="00A20503"/>
    <w:rsid w:val="00A227BB"/>
    <w:rsid w:val="00A22A06"/>
    <w:rsid w:val="00A261A0"/>
    <w:rsid w:val="00A26844"/>
    <w:rsid w:val="00A62E31"/>
    <w:rsid w:val="00A76280"/>
    <w:rsid w:val="00A82697"/>
    <w:rsid w:val="00AA75B9"/>
    <w:rsid w:val="00AD085C"/>
    <w:rsid w:val="00AD201C"/>
    <w:rsid w:val="00AD2DA8"/>
    <w:rsid w:val="00AD725B"/>
    <w:rsid w:val="00AE4831"/>
    <w:rsid w:val="00AE5DBE"/>
    <w:rsid w:val="00AF4916"/>
    <w:rsid w:val="00B02D25"/>
    <w:rsid w:val="00B13C68"/>
    <w:rsid w:val="00B44327"/>
    <w:rsid w:val="00B52787"/>
    <w:rsid w:val="00B53AB0"/>
    <w:rsid w:val="00B65FD1"/>
    <w:rsid w:val="00B66279"/>
    <w:rsid w:val="00B67933"/>
    <w:rsid w:val="00B70E1A"/>
    <w:rsid w:val="00B73178"/>
    <w:rsid w:val="00B84B1E"/>
    <w:rsid w:val="00B948E6"/>
    <w:rsid w:val="00BA6879"/>
    <w:rsid w:val="00BB6968"/>
    <w:rsid w:val="00BB7C94"/>
    <w:rsid w:val="00BC7660"/>
    <w:rsid w:val="00BD449D"/>
    <w:rsid w:val="00BD4A3D"/>
    <w:rsid w:val="00BE534A"/>
    <w:rsid w:val="00BF44B7"/>
    <w:rsid w:val="00C141E5"/>
    <w:rsid w:val="00C21635"/>
    <w:rsid w:val="00C21FEF"/>
    <w:rsid w:val="00C26222"/>
    <w:rsid w:val="00C272E3"/>
    <w:rsid w:val="00C322D6"/>
    <w:rsid w:val="00C45E13"/>
    <w:rsid w:val="00C6134F"/>
    <w:rsid w:val="00C631F1"/>
    <w:rsid w:val="00C94627"/>
    <w:rsid w:val="00CA2D6E"/>
    <w:rsid w:val="00CA3C99"/>
    <w:rsid w:val="00CB5FA6"/>
    <w:rsid w:val="00CB6F11"/>
    <w:rsid w:val="00CC1615"/>
    <w:rsid w:val="00CC34F7"/>
    <w:rsid w:val="00CC3B5E"/>
    <w:rsid w:val="00CD0CFA"/>
    <w:rsid w:val="00CD3ED2"/>
    <w:rsid w:val="00CD7800"/>
    <w:rsid w:val="00D01816"/>
    <w:rsid w:val="00D04F72"/>
    <w:rsid w:val="00D23C0D"/>
    <w:rsid w:val="00D24069"/>
    <w:rsid w:val="00D26124"/>
    <w:rsid w:val="00D33AAF"/>
    <w:rsid w:val="00D33EFC"/>
    <w:rsid w:val="00D513E0"/>
    <w:rsid w:val="00D525BC"/>
    <w:rsid w:val="00D542EC"/>
    <w:rsid w:val="00D62552"/>
    <w:rsid w:val="00D646CB"/>
    <w:rsid w:val="00D66ADA"/>
    <w:rsid w:val="00D8428F"/>
    <w:rsid w:val="00D92E2E"/>
    <w:rsid w:val="00DA15B2"/>
    <w:rsid w:val="00DB206D"/>
    <w:rsid w:val="00DE2C8E"/>
    <w:rsid w:val="00DE505F"/>
    <w:rsid w:val="00E06E7E"/>
    <w:rsid w:val="00E34971"/>
    <w:rsid w:val="00E34ADF"/>
    <w:rsid w:val="00E37D23"/>
    <w:rsid w:val="00E6008D"/>
    <w:rsid w:val="00E8139F"/>
    <w:rsid w:val="00E83E7B"/>
    <w:rsid w:val="00EA104B"/>
    <w:rsid w:val="00EC5A26"/>
    <w:rsid w:val="00ED568E"/>
    <w:rsid w:val="00ED73BF"/>
    <w:rsid w:val="00EF5E9E"/>
    <w:rsid w:val="00EF7EFE"/>
    <w:rsid w:val="00F04951"/>
    <w:rsid w:val="00F05217"/>
    <w:rsid w:val="00F0567C"/>
    <w:rsid w:val="00F063E7"/>
    <w:rsid w:val="00F109A6"/>
    <w:rsid w:val="00F14E74"/>
    <w:rsid w:val="00F21F8D"/>
    <w:rsid w:val="00F23574"/>
    <w:rsid w:val="00F239D7"/>
    <w:rsid w:val="00F27084"/>
    <w:rsid w:val="00F62BC7"/>
    <w:rsid w:val="00F64106"/>
    <w:rsid w:val="00F67D1B"/>
    <w:rsid w:val="00F83085"/>
    <w:rsid w:val="00F91E14"/>
    <w:rsid w:val="00F928C5"/>
    <w:rsid w:val="00F94465"/>
    <w:rsid w:val="00FA198E"/>
    <w:rsid w:val="00FA20D2"/>
    <w:rsid w:val="00FB28CE"/>
    <w:rsid w:val="00FC1D9B"/>
    <w:rsid w:val="00FC5C1B"/>
    <w:rsid w:val="00FC6106"/>
    <w:rsid w:val="00FC7F98"/>
    <w:rsid w:val="00FE748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F1A5F"/>
  <w15:docId w15:val="{5F4C3223-5A80-46AC-B080-05888F92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Batang" w:hAnsi="Corbel" w:cs="Times New Roman"/>
        <w:lang w:val="es-C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77F"/>
    <w:pPr>
      <w:spacing w:after="180"/>
    </w:pPr>
    <w:rPr>
      <w:color w:val="262626"/>
      <w:sz w:val="18"/>
      <w:szCs w:val="22"/>
      <w:lang w:val="en-US" w:eastAsia="en-US"/>
    </w:rPr>
  </w:style>
  <w:style w:type="paragraph" w:styleId="Ttulo1">
    <w:name w:val="heading 1"/>
    <w:basedOn w:val="Normal"/>
    <w:next w:val="Normal"/>
    <w:link w:val="Ttulo1Car"/>
    <w:qFormat/>
    <w:rsid w:val="002B4DE6"/>
    <w:pPr>
      <w:keepNext/>
      <w:keepLines/>
      <w:spacing w:after="227"/>
      <w:outlineLvl w:val="0"/>
    </w:pPr>
    <w:rPr>
      <w:rFonts w:ascii="DejaVu Serif" w:eastAsia="SimHei" w:hAnsi="DejaVu Serif"/>
      <w:b/>
      <w:bCs/>
      <w:color w:val="000000"/>
      <w:sz w:val="24"/>
      <w:szCs w:val="28"/>
      <w:lang w:val="es-CL"/>
    </w:rPr>
  </w:style>
  <w:style w:type="paragraph" w:styleId="Ttulo2">
    <w:name w:val="heading 2"/>
    <w:basedOn w:val="Normal"/>
    <w:next w:val="Normal"/>
    <w:link w:val="Ttulo2Car"/>
    <w:qFormat/>
    <w:rsid w:val="002B4DE6"/>
    <w:pPr>
      <w:keepNext/>
      <w:keepLines/>
      <w:spacing w:after="227"/>
      <w:outlineLvl w:val="1"/>
    </w:pPr>
    <w:rPr>
      <w:rFonts w:ascii="DejaVu Serif" w:eastAsia="SimHei" w:hAnsi="DejaVu Serif"/>
      <w:b/>
      <w:bCs/>
      <w:color w:val="auto"/>
      <w:sz w:val="22"/>
      <w:szCs w:val="26"/>
      <w:lang w:val="es-CL"/>
    </w:rPr>
  </w:style>
  <w:style w:type="paragraph" w:styleId="Ttulo3">
    <w:name w:val="heading 3"/>
    <w:basedOn w:val="Normal"/>
    <w:next w:val="Normal"/>
    <w:link w:val="Ttulo3Car"/>
    <w:qFormat/>
    <w:rsid w:val="002B4DE6"/>
    <w:pPr>
      <w:keepNext/>
      <w:keepLines/>
      <w:spacing w:after="170"/>
      <w:outlineLvl w:val="2"/>
    </w:pPr>
    <w:rPr>
      <w:rFonts w:ascii="DejaVu Serif" w:eastAsia="SimHei" w:hAnsi="DejaVu Serif"/>
      <w:b/>
      <w:bCs/>
      <w:color w:val="000000"/>
      <w:sz w:val="20"/>
      <w:lang w:val="pt-BR"/>
    </w:rPr>
  </w:style>
  <w:style w:type="paragraph" w:styleId="Ttulo4">
    <w:name w:val="heading 4"/>
    <w:basedOn w:val="Normal"/>
    <w:next w:val="Normal"/>
    <w:link w:val="Ttulo4Car"/>
    <w:qFormat/>
    <w:rsid w:val="002B4DE6"/>
    <w:pPr>
      <w:keepNext/>
      <w:keepLines/>
      <w:spacing w:after="170"/>
      <w:outlineLvl w:val="3"/>
    </w:pPr>
    <w:rPr>
      <w:rFonts w:ascii="DejaVu Serif" w:eastAsia="SimHei" w:hAnsi="DejaVu Serif"/>
      <w:b/>
      <w:bCs/>
      <w:iCs/>
      <w:color w:val="auto"/>
      <w:sz w:val="20"/>
      <w:lang w:val="pt-BR"/>
    </w:rPr>
  </w:style>
  <w:style w:type="paragraph" w:styleId="Ttulo5">
    <w:name w:val="heading 5"/>
    <w:basedOn w:val="Normal"/>
    <w:next w:val="Normal"/>
    <w:link w:val="Ttulo5Car"/>
    <w:qFormat/>
    <w:rsid w:val="007B577F"/>
    <w:pPr>
      <w:keepNext/>
      <w:keepLines/>
      <w:spacing w:before="120" w:after="0"/>
      <w:outlineLvl w:val="4"/>
    </w:pPr>
    <w:rPr>
      <w:rFonts w:eastAsia="SimHei"/>
      <w:caps/>
      <w:sz w:val="14"/>
    </w:rPr>
  </w:style>
  <w:style w:type="paragraph" w:styleId="Ttulo6">
    <w:name w:val="heading 6"/>
    <w:basedOn w:val="Normal"/>
    <w:next w:val="Normal"/>
    <w:link w:val="Ttulo6Car"/>
    <w:uiPriority w:val="1"/>
    <w:unhideWhenUsed/>
    <w:qFormat/>
    <w:rsid w:val="007B577F"/>
    <w:pPr>
      <w:keepNext/>
      <w:keepLines/>
      <w:spacing w:before="200" w:after="0"/>
      <w:outlineLvl w:val="5"/>
    </w:pPr>
    <w:rPr>
      <w:rFonts w:ascii="Trebuchet MS" w:eastAsia="SimHei" w:hAnsi="Trebuchet MS"/>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qFormat/>
    <w:rsid w:val="007B577F"/>
    <w:pPr>
      <w:spacing w:before="300" w:after="0"/>
      <w:ind w:right="216"/>
      <w:contextualSpacing/>
      <w:jc w:val="right"/>
    </w:pPr>
    <w:rPr>
      <w:rFonts w:ascii="Trebuchet MS" w:eastAsia="SimHei" w:hAnsi="Trebuchet MS"/>
      <w:color w:val="FFFFFF"/>
      <w:spacing w:val="5"/>
      <w:kern w:val="28"/>
      <w:sz w:val="72"/>
      <w:szCs w:val="52"/>
    </w:rPr>
  </w:style>
  <w:style w:type="character" w:customStyle="1" w:styleId="PuestoCar">
    <w:name w:val="Puesto Car"/>
    <w:link w:val="Puesto"/>
    <w:rsid w:val="007B577F"/>
    <w:rPr>
      <w:rFonts w:ascii="Trebuchet MS" w:eastAsia="SimHei" w:hAnsi="Trebuchet MS" w:cs="Times New Roman"/>
      <w:color w:val="FFFFFF"/>
      <w:spacing w:val="5"/>
      <w:kern w:val="28"/>
      <w:sz w:val="72"/>
      <w:szCs w:val="52"/>
    </w:rPr>
  </w:style>
  <w:style w:type="paragraph" w:styleId="Subttulo">
    <w:name w:val="Subtitle"/>
    <w:basedOn w:val="Normal"/>
    <w:next w:val="Normal"/>
    <w:link w:val="SubttuloCar"/>
    <w:qFormat/>
    <w:rsid w:val="007B577F"/>
    <w:pPr>
      <w:numPr>
        <w:ilvl w:val="1"/>
      </w:numPr>
      <w:ind w:right="216"/>
      <w:jc w:val="right"/>
    </w:pPr>
    <w:rPr>
      <w:rFonts w:ascii="Trebuchet MS" w:eastAsia="SimHei" w:hAnsi="Trebuchet MS"/>
      <w:iCs/>
      <w:color w:val="FFFFFF"/>
      <w:spacing w:val="15"/>
      <w:sz w:val="52"/>
      <w:szCs w:val="24"/>
    </w:rPr>
  </w:style>
  <w:style w:type="character" w:customStyle="1" w:styleId="SubttuloCar">
    <w:name w:val="Subtítulo Car"/>
    <w:link w:val="Subttulo"/>
    <w:rsid w:val="007B577F"/>
    <w:rPr>
      <w:rFonts w:ascii="Trebuchet MS" w:eastAsia="SimHei" w:hAnsi="Trebuchet MS" w:cs="Times New Roman"/>
      <w:iCs/>
      <w:color w:val="FFFFFF"/>
      <w:spacing w:val="15"/>
      <w:sz w:val="52"/>
      <w:szCs w:val="24"/>
    </w:rPr>
  </w:style>
  <w:style w:type="character" w:customStyle="1" w:styleId="Ttulo1Car">
    <w:name w:val="Título 1 Car"/>
    <w:link w:val="Ttulo1"/>
    <w:rsid w:val="002B4DE6"/>
    <w:rPr>
      <w:rFonts w:ascii="DejaVu Serif" w:eastAsia="SimHei" w:hAnsi="DejaVu Serif" w:cs="Times New Roman"/>
      <w:b/>
      <w:bCs/>
      <w:color w:val="000000"/>
      <w:sz w:val="24"/>
      <w:szCs w:val="28"/>
      <w:lang w:val="es-CL"/>
    </w:rPr>
  </w:style>
  <w:style w:type="paragraph" w:styleId="Descripcin">
    <w:name w:val="caption"/>
    <w:basedOn w:val="Normal"/>
    <w:next w:val="Normal"/>
    <w:qFormat/>
    <w:rsid w:val="007B577F"/>
    <w:pPr>
      <w:spacing w:after="200"/>
    </w:pPr>
    <w:rPr>
      <w:b/>
      <w:bCs/>
      <w:i/>
      <w:color w:val="FFFFFF"/>
      <w:sz w:val="16"/>
      <w:szCs w:val="18"/>
    </w:rPr>
  </w:style>
  <w:style w:type="character" w:customStyle="1" w:styleId="Ttulo2Car">
    <w:name w:val="Título 2 Car"/>
    <w:link w:val="Ttulo2"/>
    <w:rsid w:val="002B4DE6"/>
    <w:rPr>
      <w:rFonts w:ascii="DejaVu Serif" w:eastAsia="SimHei" w:hAnsi="DejaVu Serif" w:cs="Times New Roman"/>
      <w:b/>
      <w:bCs/>
      <w:szCs w:val="26"/>
      <w:lang w:val="es-CL"/>
    </w:rPr>
  </w:style>
  <w:style w:type="character" w:styleId="nfasis">
    <w:name w:val="Emphasis"/>
    <w:uiPriority w:val="20"/>
    <w:qFormat/>
    <w:rsid w:val="007B577F"/>
    <w:rPr>
      <w:rFonts w:ascii="Trebuchet MS" w:hAnsi="Trebuchet MS"/>
      <w:i w:val="0"/>
      <w:iCs/>
      <w:color w:val="FF5C0B"/>
      <w:sz w:val="16"/>
    </w:rPr>
  </w:style>
  <w:style w:type="character" w:customStyle="1" w:styleId="Ttulo3Car">
    <w:name w:val="Título 3 Car"/>
    <w:link w:val="Ttulo3"/>
    <w:rsid w:val="002B4DE6"/>
    <w:rPr>
      <w:rFonts w:ascii="DejaVu Serif" w:eastAsia="SimHei" w:hAnsi="DejaVu Serif" w:cs="Times New Roman"/>
      <w:b/>
      <w:bCs/>
      <w:color w:val="000000"/>
      <w:sz w:val="20"/>
      <w:lang w:val="pt-BR"/>
    </w:rPr>
  </w:style>
  <w:style w:type="character" w:styleId="Nmerodepgina">
    <w:name w:val="page number"/>
    <w:uiPriority w:val="99"/>
    <w:qFormat/>
    <w:rsid w:val="007B577F"/>
    <w:rPr>
      <w:rFonts w:ascii="Corbel" w:hAnsi="Corbel"/>
      <w:color w:val="FF5C0B"/>
      <w:sz w:val="20"/>
    </w:rPr>
  </w:style>
  <w:style w:type="paragraph" w:styleId="Encabezado">
    <w:name w:val="header"/>
    <w:basedOn w:val="Normal"/>
    <w:link w:val="EncabezadoCar"/>
    <w:uiPriority w:val="99"/>
    <w:rsid w:val="007B577F"/>
    <w:pPr>
      <w:spacing w:after="60"/>
    </w:pPr>
    <w:rPr>
      <w:caps/>
      <w:color w:val="FF5C0B"/>
      <w:sz w:val="20"/>
    </w:rPr>
  </w:style>
  <w:style w:type="character" w:customStyle="1" w:styleId="EncabezadoCar">
    <w:name w:val="Encabezado Car"/>
    <w:link w:val="Encabezado"/>
    <w:uiPriority w:val="99"/>
    <w:rsid w:val="007B577F"/>
    <w:rPr>
      <w:caps/>
      <w:color w:val="FF5C0B"/>
      <w:sz w:val="20"/>
    </w:rPr>
  </w:style>
  <w:style w:type="paragraph" w:customStyle="1" w:styleId="Name">
    <w:name w:val="Name"/>
    <w:basedOn w:val="Normal"/>
    <w:qFormat/>
    <w:rsid w:val="007B577F"/>
    <w:rPr>
      <w:color w:val="404040"/>
      <w:sz w:val="22"/>
    </w:rPr>
  </w:style>
  <w:style w:type="paragraph" w:customStyle="1" w:styleId="SidebarTableText">
    <w:name w:val="Sidebar Table Text"/>
    <w:basedOn w:val="Normal"/>
    <w:qFormat/>
    <w:rsid w:val="007B577F"/>
    <w:rPr>
      <w:sz w:val="16"/>
    </w:rPr>
  </w:style>
  <w:style w:type="character" w:customStyle="1" w:styleId="Ttulo4Car">
    <w:name w:val="Título 4 Car"/>
    <w:link w:val="Ttulo4"/>
    <w:rsid w:val="002B4DE6"/>
    <w:rPr>
      <w:rFonts w:ascii="DejaVu Serif" w:eastAsia="SimHei" w:hAnsi="DejaVu Serif" w:cs="Times New Roman"/>
      <w:b/>
      <w:bCs/>
      <w:iCs/>
      <w:sz w:val="20"/>
      <w:lang w:val="pt-BR"/>
    </w:rPr>
  </w:style>
  <w:style w:type="character" w:customStyle="1" w:styleId="Ttulo5Car">
    <w:name w:val="Título 5 Car"/>
    <w:link w:val="Ttulo5"/>
    <w:rsid w:val="007B577F"/>
    <w:rPr>
      <w:rFonts w:eastAsia="SimHei" w:cs="Times New Roman"/>
      <w:caps/>
      <w:color w:val="262626"/>
      <w:sz w:val="14"/>
    </w:rPr>
  </w:style>
  <w:style w:type="paragraph" w:customStyle="1" w:styleId="ContactInfo">
    <w:name w:val="Contact Info"/>
    <w:basedOn w:val="Normal"/>
    <w:qFormat/>
    <w:rsid w:val="007B577F"/>
    <w:pPr>
      <w:spacing w:after="120"/>
    </w:pPr>
    <w:rPr>
      <w:color w:val="808080"/>
      <w:sz w:val="16"/>
      <w:lang w:val="fr-FR"/>
    </w:rPr>
  </w:style>
  <w:style w:type="paragraph" w:customStyle="1" w:styleId="Caption2">
    <w:name w:val="Caption 2"/>
    <w:basedOn w:val="Normal"/>
    <w:qFormat/>
    <w:rsid w:val="007B577F"/>
    <w:pPr>
      <w:spacing w:after="0"/>
    </w:pPr>
    <w:rPr>
      <w:i/>
      <w:color w:val="7F7F7F"/>
      <w:sz w:val="16"/>
    </w:rPr>
  </w:style>
  <w:style w:type="paragraph" w:customStyle="1" w:styleId="Callout">
    <w:name w:val="Callout"/>
    <w:basedOn w:val="Normal"/>
    <w:qFormat/>
    <w:rsid w:val="007B577F"/>
    <w:pPr>
      <w:spacing w:before="40" w:after="0"/>
      <w:ind w:left="-216"/>
    </w:pPr>
    <w:rPr>
      <w:rFonts w:ascii="Trebuchet MS" w:hAnsi="Trebuchet MS"/>
      <w:color w:val="D9D9D9"/>
      <w:sz w:val="72"/>
    </w:rPr>
  </w:style>
  <w:style w:type="paragraph" w:customStyle="1" w:styleId="SidebarText">
    <w:name w:val="Sidebar Text"/>
    <w:basedOn w:val="Normal"/>
    <w:uiPriority w:val="99"/>
    <w:qFormat/>
    <w:rsid w:val="007B577F"/>
    <w:pPr>
      <w:ind w:left="-216" w:right="-144"/>
    </w:pPr>
    <w:rPr>
      <w:sz w:val="16"/>
    </w:rPr>
  </w:style>
  <w:style w:type="character" w:customStyle="1" w:styleId="Ttulo6Car">
    <w:name w:val="Título 6 Car"/>
    <w:link w:val="Ttulo6"/>
    <w:uiPriority w:val="1"/>
    <w:rsid w:val="007B577F"/>
    <w:rPr>
      <w:rFonts w:ascii="Trebuchet MS" w:eastAsia="SimHei" w:hAnsi="Trebuchet MS" w:cs="Times New Roman"/>
      <w:iCs/>
      <w:color w:val="262626"/>
      <w:sz w:val="20"/>
    </w:rPr>
  </w:style>
  <w:style w:type="paragraph" w:customStyle="1" w:styleId="Title-Back">
    <w:name w:val="Title-Back"/>
    <w:basedOn w:val="Normal"/>
    <w:qFormat/>
    <w:rsid w:val="007B577F"/>
    <w:pPr>
      <w:spacing w:before="120" w:after="0"/>
      <w:jc w:val="right"/>
    </w:pPr>
    <w:rPr>
      <w:rFonts w:ascii="Trebuchet MS" w:hAnsi="Trebuchet MS"/>
      <w:color w:val="FFFFFF"/>
      <w:sz w:val="56"/>
    </w:rPr>
  </w:style>
  <w:style w:type="paragraph" w:customStyle="1" w:styleId="Subtitle-Back">
    <w:name w:val="Subtitle-Back"/>
    <w:basedOn w:val="Normal"/>
    <w:qFormat/>
    <w:rsid w:val="007B577F"/>
    <w:pPr>
      <w:spacing w:after="1200"/>
      <w:jc w:val="right"/>
    </w:pPr>
    <w:rPr>
      <w:rFonts w:ascii="Trebuchet MS" w:hAnsi="Trebuchet MS"/>
      <w:color w:val="FFFFFF"/>
      <w:sz w:val="44"/>
    </w:rPr>
  </w:style>
  <w:style w:type="paragraph" w:customStyle="1" w:styleId="ReturnAddress">
    <w:name w:val="Return Address"/>
    <w:basedOn w:val="Normal"/>
    <w:qFormat/>
    <w:rsid w:val="007B577F"/>
    <w:pPr>
      <w:spacing w:after="240"/>
      <w:jc w:val="right"/>
    </w:pPr>
    <w:rPr>
      <w:color w:val="FFFFFF"/>
      <w:sz w:val="22"/>
    </w:rPr>
  </w:style>
  <w:style w:type="paragraph" w:customStyle="1" w:styleId="Address">
    <w:name w:val="Address"/>
    <w:basedOn w:val="Normal"/>
    <w:qFormat/>
    <w:rsid w:val="007B577F"/>
    <w:pPr>
      <w:spacing w:after="0"/>
    </w:pPr>
    <w:rPr>
      <w:sz w:val="20"/>
    </w:rPr>
  </w:style>
  <w:style w:type="table" w:styleId="Tablaconcuadrcula">
    <w:name w:val="Table Grid"/>
    <w:basedOn w:val="Tablanormal"/>
    <w:rsid w:val="007B5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rsid w:val="007B577F"/>
    <w:pPr>
      <w:spacing w:after="60"/>
    </w:pPr>
    <w:rPr>
      <w:noProof/>
      <w:color w:val="262626"/>
      <w:sz w:val="2"/>
      <w:szCs w:val="22"/>
      <w:lang w:val="en-US" w:eastAsia="en-US"/>
    </w:rPr>
  </w:style>
  <w:style w:type="paragraph" w:styleId="Textodeglobo">
    <w:name w:val="Balloon Text"/>
    <w:basedOn w:val="Normal"/>
    <w:link w:val="TextodegloboCar"/>
    <w:uiPriority w:val="99"/>
    <w:semiHidden/>
    <w:unhideWhenUsed/>
    <w:rsid w:val="007B577F"/>
    <w:pPr>
      <w:spacing w:after="0"/>
    </w:pPr>
    <w:rPr>
      <w:rFonts w:ascii="Tahoma" w:hAnsi="Tahoma" w:cs="Tahoma"/>
      <w:sz w:val="16"/>
      <w:szCs w:val="16"/>
    </w:rPr>
  </w:style>
  <w:style w:type="character" w:customStyle="1" w:styleId="TextodegloboCar">
    <w:name w:val="Texto de globo Car"/>
    <w:link w:val="Textodeglobo"/>
    <w:uiPriority w:val="99"/>
    <w:semiHidden/>
    <w:rsid w:val="007B577F"/>
    <w:rPr>
      <w:rFonts w:ascii="Tahoma" w:hAnsi="Tahoma" w:cs="Tahoma"/>
      <w:color w:val="262626"/>
      <w:sz w:val="16"/>
      <w:szCs w:val="16"/>
    </w:rPr>
  </w:style>
  <w:style w:type="character" w:styleId="Textodelmarcadordeposicin">
    <w:name w:val="Placeholder Text"/>
    <w:uiPriority w:val="99"/>
    <w:semiHidden/>
    <w:rsid w:val="007B577F"/>
    <w:rPr>
      <w:color w:val="808080"/>
    </w:rPr>
  </w:style>
  <w:style w:type="paragraph" w:customStyle="1" w:styleId="IssueNumber">
    <w:name w:val="Issue Number"/>
    <w:basedOn w:val="Encabezado"/>
    <w:link w:val="IssueNumberChar"/>
    <w:qFormat/>
    <w:rsid w:val="007B577F"/>
    <w:pPr>
      <w:jc w:val="right"/>
    </w:pPr>
    <w:rPr>
      <w:caps w:val="0"/>
      <w:color w:val="808080"/>
    </w:rPr>
  </w:style>
  <w:style w:type="paragraph" w:styleId="NormalWeb">
    <w:name w:val="Normal (Web)"/>
    <w:basedOn w:val="Normal"/>
    <w:uiPriority w:val="99"/>
    <w:unhideWhenUsed/>
    <w:rsid w:val="007B577F"/>
    <w:pPr>
      <w:spacing w:after="210" w:line="210" w:lineRule="atLeast"/>
      <w:jc w:val="both"/>
    </w:pPr>
    <w:rPr>
      <w:rFonts w:ascii="Times New Roman" w:eastAsia="Times New Roman" w:hAnsi="Times New Roman"/>
      <w:color w:val="auto"/>
      <w:sz w:val="17"/>
      <w:szCs w:val="17"/>
    </w:rPr>
  </w:style>
  <w:style w:type="paragraph" w:customStyle="1" w:styleId="Sidebarphoto">
    <w:name w:val="Sidebar photo"/>
    <w:basedOn w:val="Normal"/>
    <w:qFormat/>
    <w:rsid w:val="007B577F"/>
    <w:pPr>
      <w:spacing w:after="0"/>
      <w:ind w:left="-317"/>
    </w:pPr>
    <w:rPr>
      <w:noProof/>
      <w:sz w:val="12"/>
    </w:rPr>
  </w:style>
  <w:style w:type="character" w:customStyle="1" w:styleId="IssueNumberChar">
    <w:name w:val="Issue Number Char"/>
    <w:link w:val="IssueNumber"/>
    <w:rsid w:val="007B577F"/>
    <w:rPr>
      <w:color w:val="808080"/>
      <w:sz w:val="20"/>
    </w:rPr>
  </w:style>
  <w:style w:type="paragraph" w:styleId="Piedepgina">
    <w:name w:val="footer"/>
    <w:basedOn w:val="Normal"/>
    <w:link w:val="PiedepginaCar"/>
    <w:uiPriority w:val="99"/>
    <w:unhideWhenUsed/>
    <w:rsid w:val="007B577F"/>
    <w:pPr>
      <w:tabs>
        <w:tab w:val="center" w:pos="4680"/>
        <w:tab w:val="right" w:pos="9360"/>
      </w:tabs>
      <w:spacing w:after="0"/>
    </w:pPr>
  </w:style>
  <w:style w:type="character" w:customStyle="1" w:styleId="PiedepginaCar">
    <w:name w:val="Pie de página Car"/>
    <w:link w:val="Piedepgina"/>
    <w:uiPriority w:val="99"/>
    <w:rsid w:val="007B577F"/>
    <w:rPr>
      <w:color w:val="262626"/>
      <w:sz w:val="18"/>
    </w:rPr>
  </w:style>
  <w:style w:type="character" w:styleId="Refdecomentario">
    <w:name w:val="annotation reference"/>
    <w:uiPriority w:val="99"/>
    <w:semiHidden/>
    <w:unhideWhenUsed/>
    <w:rsid w:val="007B577F"/>
    <w:rPr>
      <w:sz w:val="16"/>
      <w:szCs w:val="16"/>
    </w:rPr>
  </w:style>
  <w:style w:type="paragraph" w:styleId="Textocomentario">
    <w:name w:val="annotation text"/>
    <w:basedOn w:val="Normal"/>
    <w:link w:val="TextocomentarioCar"/>
    <w:uiPriority w:val="99"/>
    <w:semiHidden/>
    <w:unhideWhenUsed/>
    <w:rsid w:val="007B577F"/>
    <w:rPr>
      <w:sz w:val="20"/>
      <w:szCs w:val="20"/>
    </w:rPr>
  </w:style>
  <w:style w:type="character" w:customStyle="1" w:styleId="TextocomentarioCar">
    <w:name w:val="Texto comentario Car"/>
    <w:link w:val="Textocomentario"/>
    <w:uiPriority w:val="99"/>
    <w:semiHidden/>
    <w:rsid w:val="007B577F"/>
    <w:rPr>
      <w:color w:val="262626"/>
      <w:sz w:val="20"/>
      <w:szCs w:val="20"/>
    </w:rPr>
  </w:style>
  <w:style w:type="paragraph" w:styleId="Asuntodelcomentario">
    <w:name w:val="annotation subject"/>
    <w:basedOn w:val="Textocomentario"/>
    <w:next w:val="Textocomentario"/>
    <w:link w:val="AsuntodelcomentarioCar"/>
    <w:uiPriority w:val="99"/>
    <w:semiHidden/>
    <w:unhideWhenUsed/>
    <w:rsid w:val="007B577F"/>
    <w:rPr>
      <w:b/>
      <w:bCs/>
    </w:rPr>
  </w:style>
  <w:style w:type="character" w:customStyle="1" w:styleId="AsuntodelcomentarioCar">
    <w:name w:val="Asunto del comentario Car"/>
    <w:link w:val="Asuntodelcomentario"/>
    <w:uiPriority w:val="99"/>
    <w:semiHidden/>
    <w:rsid w:val="007B577F"/>
    <w:rPr>
      <w:b/>
      <w:bCs/>
      <w:color w:val="262626"/>
      <w:sz w:val="20"/>
      <w:szCs w:val="20"/>
    </w:rPr>
  </w:style>
  <w:style w:type="character" w:styleId="Hipervnculovisitado">
    <w:name w:val="FollowedHyperlink"/>
    <w:uiPriority w:val="99"/>
    <w:semiHidden/>
    <w:unhideWhenUsed/>
    <w:rsid w:val="007B577F"/>
    <w:rPr>
      <w:color w:val="E3791C"/>
      <w:u w:val="single"/>
    </w:rPr>
  </w:style>
  <w:style w:type="character" w:styleId="Hipervnculo">
    <w:name w:val="Hyperlink"/>
    <w:uiPriority w:val="99"/>
    <w:unhideWhenUsed/>
    <w:rsid w:val="007B577F"/>
    <w:rPr>
      <w:color w:val="BC2700"/>
      <w:u w:val="single"/>
    </w:rPr>
  </w:style>
  <w:style w:type="paragraph" w:styleId="Listaconvietas">
    <w:name w:val="List Bullet"/>
    <w:basedOn w:val="Normal"/>
    <w:unhideWhenUsed/>
    <w:rsid w:val="007B577F"/>
    <w:pPr>
      <w:numPr>
        <w:numId w:val="2"/>
      </w:numPr>
      <w:contextualSpacing/>
    </w:pPr>
    <w:rPr>
      <w:b/>
    </w:rPr>
  </w:style>
  <w:style w:type="paragraph" w:styleId="Continuarlista">
    <w:name w:val="List Continue"/>
    <w:basedOn w:val="Normal"/>
    <w:unhideWhenUsed/>
    <w:rsid w:val="007B577F"/>
    <w:pPr>
      <w:spacing w:after="120"/>
      <w:ind w:left="360"/>
    </w:pPr>
  </w:style>
  <w:style w:type="paragraph" w:customStyle="1" w:styleId="PageReference">
    <w:name w:val="Page Reference"/>
    <w:basedOn w:val="Normal"/>
    <w:qFormat/>
    <w:rsid w:val="007B577F"/>
    <w:pPr>
      <w:jc w:val="right"/>
    </w:pPr>
    <w:rPr>
      <w:color w:val="000000"/>
      <w:sz w:val="20"/>
    </w:rPr>
  </w:style>
  <w:style w:type="paragraph" w:customStyle="1" w:styleId="SidebarHighlightText">
    <w:name w:val="Sidebar Highlight Text"/>
    <w:basedOn w:val="Normal"/>
    <w:qFormat/>
    <w:rsid w:val="007B577F"/>
    <w:pPr>
      <w:spacing w:after="80"/>
      <w:ind w:left="-216"/>
    </w:pPr>
    <w:rPr>
      <w:rFonts w:ascii="Trebuchet MS" w:hAnsi="Trebuchet MS"/>
      <w:color w:val="595959"/>
      <w:sz w:val="24"/>
    </w:rPr>
  </w:style>
  <w:style w:type="character" w:styleId="Textoennegrita">
    <w:name w:val="Strong"/>
    <w:uiPriority w:val="22"/>
    <w:unhideWhenUsed/>
    <w:qFormat/>
    <w:rsid w:val="007B577F"/>
    <w:rPr>
      <w:b/>
      <w:bCs/>
    </w:rPr>
  </w:style>
  <w:style w:type="paragraph" w:customStyle="1" w:styleId="HeaderSpace">
    <w:name w:val="Header Space"/>
    <w:basedOn w:val="Normal"/>
    <w:qFormat/>
    <w:rsid w:val="007B577F"/>
    <w:pPr>
      <w:spacing w:after="60"/>
      <w:ind w:left="-230"/>
    </w:pPr>
  </w:style>
  <w:style w:type="paragraph" w:styleId="Listaconnmeros">
    <w:name w:val="List Number"/>
    <w:basedOn w:val="Normal"/>
    <w:uiPriority w:val="99"/>
    <w:unhideWhenUsed/>
    <w:rsid w:val="007B577F"/>
    <w:pPr>
      <w:numPr>
        <w:numId w:val="1"/>
      </w:numPr>
      <w:contextualSpacing/>
    </w:pPr>
  </w:style>
  <w:style w:type="paragraph" w:styleId="Listaconvietas2">
    <w:name w:val="List Bullet 2"/>
    <w:basedOn w:val="Normal"/>
    <w:uiPriority w:val="99"/>
    <w:unhideWhenUsed/>
    <w:rsid w:val="007B577F"/>
    <w:pPr>
      <w:numPr>
        <w:numId w:val="3"/>
      </w:numPr>
      <w:spacing w:after="60"/>
    </w:pPr>
  </w:style>
  <w:style w:type="paragraph" w:customStyle="1" w:styleId="SidebarHeading">
    <w:name w:val="Sidebar Heading"/>
    <w:basedOn w:val="Normal"/>
    <w:uiPriority w:val="99"/>
    <w:qFormat/>
    <w:rsid w:val="007B577F"/>
    <w:pPr>
      <w:spacing w:before="120" w:after="0"/>
      <w:ind w:left="-216" w:right="-144"/>
    </w:pPr>
    <w:rPr>
      <w:rFonts w:ascii="Trebuchet MS" w:hAnsi="Trebuchet MS"/>
      <w:color w:val="FF5C0B"/>
      <w:sz w:val="24"/>
      <w:szCs w:val="24"/>
    </w:rPr>
  </w:style>
  <w:style w:type="paragraph" w:customStyle="1" w:styleId="SidebarPhoto0">
    <w:name w:val="Sidebar Photo"/>
    <w:basedOn w:val="Normal"/>
    <w:qFormat/>
    <w:rsid w:val="007B577F"/>
    <w:pPr>
      <w:spacing w:after="0"/>
      <w:ind w:left="-317"/>
    </w:pPr>
    <w:rPr>
      <w:noProof/>
      <w:sz w:val="12"/>
    </w:rPr>
  </w:style>
  <w:style w:type="character" w:customStyle="1" w:styleId="shorttext">
    <w:name w:val="short_text"/>
    <w:basedOn w:val="Fuentedeprrafopredeter"/>
    <w:rsid w:val="00A05F31"/>
  </w:style>
  <w:style w:type="character" w:customStyle="1" w:styleId="hps">
    <w:name w:val="hps"/>
    <w:basedOn w:val="Fuentedeprrafopredeter"/>
    <w:rsid w:val="00A05F31"/>
  </w:style>
  <w:style w:type="paragraph" w:customStyle="1" w:styleId="TtuloTablas">
    <w:name w:val="Título Tablas"/>
    <w:basedOn w:val="Normal"/>
    <w:rsid w:val="00792A34"/>
    <w:pPr>
      <w:numPr>
        <w:numId w:val="4"/>
      </w:numPr>
      <w:spacing w:after="0"/>
      <w:ind w:left="369" w:hanging="369"/>
      <w:jc w:val="both"/>
    </w:pPr>
    <w:rPr>
      <w:rFonts w:ascii="Verdana" w:eastAsia="Times New Roman" w:hAnsi="Verdana"/>
      <w:color w:val="auto"/>
      <w:szCs w:val="24"/>
      <w:lang w:val="es-ES" w:eastAsia="es-ES"/>
    </w:rPr>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
    <w:basedOn w:val="Normal"/>
    <w:link w:val="TextonotapieCar"/>
    <w:uiPriority w:val="99"/>
    <w:unhideWhenUsed/>
    <w:rsid w:val="00C21FEF"/>
    <w:pPr>
      <w:spacing w:after="0"/>
    </w:pPr>
    <w:rPr>
      <w:sz w:val="20"/>
      <w:szCs w:val="20"/>
    </w:rPr>
  </w:style>
  <w:style w:type="character" w:customStyle="1" w:styleId="TextonotapieCar">
    <w:name w:val="Texto nota pie Car"/>
    <w:aliases w:val="Footnote Text Char Char Char Char Car1,Footnote Text Char Char Char Car1,Footnote Text.SES Car1,Footnote Text Char Char Char Char Char Car1,Footnote reference Car1,FA Fu Car1,Footnote Text Cha Car1,FA Fußnotentext Car1"/>
    <w:link w:val="Textonotapie"/>
    <w:uiPriority w:val="99"/>
    <w:rsid w:val="00C21FEF"/>
    <w:rPr>
      <w:color w:val="262626"/>
      <w:sz w:val="20"/>
      <w:szCs w:val="20"/>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uiPriority w:val="99"/>
    <w:semiHidden/>
    <w:rsid w:val="00C21FEF"/>
    <w:rPr>
      <w:rFonts w:ascii="Verdana" w:hAnsi="Verdana"/>
      <w:sz w:val="16"/>
      <w:vertAlign w:val="superscript"/>
    </w:rPr>
  </w:style>
  <w:style w:type="paragraph" w:styleId="Textonotaalfinal">
    <w:name w:val="endnote text"/>
    <w:basedOn w:val="Normal"/>
    <w:link w:val="TextonotaalfinalCar"/>
    <w:uiPriority w:val="99"/>
    <w:semiHidden/>
    <w:unhideWhenUsed/>
    <w:rsid w:val="000D5589"/>
    <w:pPr>
      <w:spacing w:after="0"/>
    </w:pPr>
    <w:rPr>
      <w:sz w:val="20"/>
      <w:szCs w:val="20"/>
    </w:rPr>
  </w:style>
  <w:style w:type="character" w:customStyle="1" w:styleId="TextonotaalfinalCar">
    <w:name w:val="Texto nota al final Car"/>
    <w:link w:val="Textonotaalfinal"/>
    <w:uiPriority w:val="99"/>
    <w:semiHidden/>
    <w:rsid w:val="000D5589"/>
    <w:rPr>
      <w:color w:val="262626"/>
      <w:sz w:val="20"/>
      <w:szCs w:val="20"/>
    </w:rPr>
  </w:style>
  <w:style w:type="character" w:styleId="Refdenotaalfinal">
    <w:name w:val="endnote reference"/>
    <w:uiPriority w:val="99"/>
    <w:semiHidden/>
    <w:unhideWhenUsed/>
    <w:rsid w:val="000D5589"/>
    <w:rPr>
      <w:vertAlign w:val="superscript"/>
    </w:rPr>
  </w:style>
  <w:style w:type="character" w:customStyle="1" w:styleId="TextonotapieCar1">
    <w:name w:val="Texto nota pie Car1"/>
    <w:aliases w:val="Footnote Text Char Char Char Char Car,Footnote Text Char Char Char Car,Footnote Text.SES Car,Footnote Text Char Char Char Char Char Car,Footnote reference Car,FA Fu Car,Footnote Text Cha Car,FA Fußnotentext Car,FA Fuﬂnotentext Car"/>
    <w:semiHidden/>
    <w:rsid w:val="00BD449D"/>
    <w:rPr>
      <w:rFonts w:ascii="Verdana" w:hAnsi="Verdana"/>
      <w:sz w:val="16"/>
      <w:lang w:val="es-ES" w:eastAsia="es-ES"/>
    </w:rPr>
  </w:style>
  <w:style w:type="character" w:customStyle="1" w:styleId="A01">
    <w:name w:val="A0+1"/>
    <w:rsid w:val="00BD449D"/>
    <w:rPr>
      <w:rFonts w:cs="Helvetica 45 Light"/>
      <w:color w:val="000000"/>
      <w:sz w:val="20"/>
      <w:szCs w:val="20"/>
    </w:rPr>
  </w:style>
  <w:style w:type="paragraph" w:styleId="HTMLconformatoprevio">
    <w:name w:val="HTML Preformatted"/>
    <w:basedOn w:val="Normal"/>
    <w:link w:val="HTMLconformatoprevioCar"/>
    <w:uiPriority w:val="99"/>
    <w:rsid w:val="00B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auto"/>
      <w:sz w:val="20"/>
      <w:szCs w:val="20"/>
      <w:lang w:val="es-ES" w:eastAsia="es-ES"/>
    </w:rPr>
  </w:style>
  <w:style w:type="character" w:customStyle="1" w:styleId="HTMLconformatoprevioCar">
    <w:name w:val="HTML con formato previo Car"/>
    <w:link w:val="HTMLconformatoprevio"/>
    <w:uiPriority w:val="99"/>
    <w:rsid w:val="00BD449D"/>
    <w:rPr>
      <w:rFonts w:ascii="Courier New" w:eastAsia="Times New Roman" w:hAnsi="Courier New" w:cs="Courier New"/>
      <w:sz w:val="20"/>
      <w:szCs w:val="20"/>
      <w:lang w:val="es-ES" w:eastAsia="es-ES"/>
    </w:rPr>
  </w:style>
  <w:style w:type="paragraph" w:customStyle="1" w:styleId="Prrafodelista1">
    <w:name w:val="Párrafo de lista1"/>
    <w:basedOn w:val="Normal"/>
    <w:qFormat/>
    <w:rsid w:val="00BD449D"/>
    <w:pPr>
      <w:spacing w:after="0"/>
      <w:ind w:left="720"/>
      <w:contextualSpacing/>
      <w:jc w:val="both"/>
    </w:pPr>
    <w:rPr>
      <w:rFonts w:ascii="Verdana" w:eastAsia="MS Mincho" w:hAnsi="Verdana"/>
      <w:color w:val="auto"/>
      <w:sz w:val="20"/>
      <w:szCs w:val="20"/>
      <w:lang w:val="es-ES_tradnl"/>
    </w:rPr>
  </w:style>
  <w:style w:type="paragraph" w:styleId="Prrafodelista">
    <w:name w:val="List Paragraph"/>
    <w:basedOn w:val="Normal"/>
    <w:uiPriority w:val="34"/>
    <w:unhideWhenUsed/>
    <w:qFormat/>
    <w:rsid w:val="00BD449D"/>
    <w:pPr>
      <w:ind w:left="720"/>
      <w:contextualSpacing/>
    </w:pPr>
  </w:style>
  <w:style w:type="paragraph" w:customStyle="1" w:styleId="Encabezado1">
    <w:name w:val="Encabezado 1"/>
    <w:basedOn w:val="Normal"/>
    <w:next w:val="Cuerpodetexto"/>
    <w:uiPriority w:val="99"/>
    <w:rsid w:val="000C1E1B"/>
    <w:pPr>
      <w:keepNext/>
      <w:keepLines/>
      <w:autoSpaceDE w:val="0"/>
      <w:autoSpaceDN w:val="0"/>
      <w:adjustRightInd w:val="0"/>
      <w:spacing w:after="283"/>
    </w:pPr>
    <w:rPr>
      <w:rFonts w:ascii="DejaVu Sans" w:cs="DejaVu Sans"/>
      <w:b/>
      <w:bCs/>
      <w:color w:val="000000"/>
      <w:sz w:val="24"/>
      <w:szCs w:val="24"/>
      <w:lang w:val="es-CL"/>
    </w:rPr>
  </w:style>
  <w:style w:type="paragraph" w:customStyle="1" w:styleId="Encabezado2">
    <w:name w:val="Encabezado 2"/>
    <w:basedOn w:val="Normal"/>
    <w:next w:val="Cuerpodetexto"/>
    <w:uiPriority w:val="99"/>
    <w:rsid w:val="000C1E1B"/>
    <w:pPr>
      <w:keepNext/>
      <w:keepLines/>
      <w:numPr>
        <w:ilvl w:val="1"/>
      </w:numPr>
      <w:autoSpaceDE w:val="0"/>
      <w:autoSpaceDN w:val="0"/>
      <w:adjustRightInd w:val="0"/>
      <w:spacing w:after="227"/>
      <w:outlineLvl w:val="1"/>
    </w:pPr>
    <w:rPr>
      <w:rFonts w:ascii="DejaVu Sans" w:cs="DejaVu Sans"/>
      <w:b/>
      <w:bCs/>
      <w:color w:val="000000"/>
      <w:sz w:val="22"/>
      <w:lang w:val="es-CL"/>
    </w:rPr>
  </w:style>
  <w:style w:type="paragraph" w:customStyle="1" w:styleId="Encabezado3">
    <w:name w:val="Encabezado 3"/>
    <w:basedOn w:val="Normal"/>
    <w:next w:val="Cuerpodetexto"/>
    <w:uiPriority w:val="99"/>
    <w:rsid w:val="000C1E1B"/>
    <w:pPr>
      <w:keepNext/>
      <w:keepLines/>
      <w:numPr>
        <w:ilvl w:val="2"/>
      </w:numPr>
      <w:autoSpaceDE w:val="0"/>
      <w:autoSpaceDN w:val="0"/>
      <w:adjustRightInd w:val="0"/>
      <w:spacing w:after="170"/>
      <w:outlineLvl w:val="2"/>
    </w:pPr>
    <w:rPr>
      <w:rFonts w:ascii="DejaVu Sans" w:cs="DejaVu Sans"/>
      <w:b/>
      <w:bCs/>
      <w:color w:val="000000"/>
      <w:sz w:val="20"/>
      <w:szCs w:val="20"/>
      <w:lang w:val="es-CL"/>
    </w:rPr>
  </w:style>
  <w:style w:type="character" w:customStyle="1" w:styleId="Destacado">
    <w:name w:val="Destacado"/>
    <w:uiPriority w:val="99"/>
    <w:rsid w:val="000C1E1B"/>
    <w:rPr>
      <w:rFonts w:ascii="Trebuchet MS" w:cs="Trebuchet MS"/>
      <w:i/>
      <w:iCs/>
      <w:color w:val="FF5C0B"/>
      <w:sz w:val="16"/>
      <w:szCs w:val="16"/>
    </w:rPr>
  </w:style>
  <w:style w:type="paragraph" w:customStyle="1" w:styleId="Cuerpodetexto">
    <w:name w:val="Cuerpo de texto"/>
    <w:basedOn w:val="Normal"/>
    <w:uiPriority w:val="99"/>
    <w:rsid w:val="00FE7482"/>
    <w:pPr>
      <w:autoSpaceDE w:val="0"/>
      <w:autoSpaceDN w:val="0"/>
      <w:adjustRightInd w:val="0"/>
      <w:spacing w:after="0"/>
      <w:jc w:val="both"/>
    </w:pPr>
    <w:rPr>
      <w:rFonts w:ascii="DejaVu Sans" w:hAnsi="DejaVu Sans" w:cs="DejaVu Sans"/>
      <w:color w:val="000000"/>
      <w:sz w:val="20"/>
      <w:szCs w:val="20"/>
      <w:lang w:val="es-CL"/>
    </w:rPr>
  </w:style>
  <w:style w:type="paragraph" w:styleId="TDC2">
    <w:name w:val="toc 2"/>
    <w:basedOn w:val="Normal"/>
    <w:next w:val="Normal"/>
    <w:autoRedefine/>
    <w:uiPriority w:val="39"/>
    <w:unhideWhenUsed/>
    <w:rsid w:val="000D1607"/>
    <w:pPr>
      <w:spacing w:after="0"/>
      <w:ind w:left="181"/>
    </w:pPr>
    <w:rPr>
      <w:rFonts w:ascii="EB Garamond 08" w:hAnsi="EB Garamond 08"/>
      <w:sz w:val="20"/>
    </w:rPr>
  </w:style>
  <w:style w:type="paragraph" w:styleId="TDC3">
    <w:name w:val="toc 3"/>
    <w:basedOn w:val="Normal"/>
    <w:next w:val="Normal"/>
    <w:autoRedefine/>
    <w:uiPriority w:val="39"/>
    <w:unhideWhenUsed/>
    <w:rsid w:val="000D1607"/>
    <w:pPr>
      <w:spacing w:after="0"/>
      <w:ind w:left="357"/>
    </w:pPr>
    <w:rPr>
      <w:rFonts w:ascii="EB Garamond 08" w:hAnsi="EB Garamond 08"/>
      <w:sz w:val="20"/>
    </w:rPr>
  </w:style>
  <w:style w:type="paragraph" w:styleId="TDC1">
    <w:name w:val="toc 1"/>
    <w:basedOn w:val="Normal"/>
    <w:next w:val="Normal"/>
    <w:autoRedefine/>
    <w:uiPriority w:val="39"/>
    <w:unhideWhenUsed/>
    <w:rsid w:val="000D1607"/>
    <w:pPr>
      <w:tabs>
        <w:tab w:val="right" w:leader="dot" w:pos="10490"/>
      </w:tabs>
      <w:spacing w:after="0"/>
    </w:pPr>
    <w:rPr>
      <w:rFonts w:ascii="EB Garamond 08" w:hAnsi="EB Garamond 08" w:cs="DejaVu Sans"/>
      <w:sz w:val="20"/>
      <w:szCs w:val="20"/>
    </w:rPr>
  </w:style>
  <w:style w:type="paragraph" w:customStyle="1" w:styleId="Notaalpie">
    <w:name w:val="Nota al pie"/>
    <w:basedOn w:val="Normal"/>
    <w:uiPriority w:val="99"/>
    <w:rsid w:val="002F4687"/>
    <w:pPr>
      <w:suppressLineNumbers/>
      <w:autoSpaceDE w:val="0"/>
      <w:autoSpaceDN w:val="0"/>
      <w:adjustRightInd w:val="0"/>
      <w:spacing w:after="0"/>
      <w:ind w:left="339" w:hanging="339"/>
    </w:pPr>
    <w:rPr>
      <w:rFonts w:ascii="DejaVu Sans" w:cs="DejaVu Sans"/>
      <w:sz w:val="16"/>
      <w:szCs w:val="16"/>
      <w:lang w:val="es-CL"/>
    </w:rPr>
  </w:style>
  <w:style w:type="paragraph" w:styleId="TDC4">
    <w:name w:val="toc 4"/>
    <w:basedOn w:val="Normal"/>
    <w:next w:val="Normal"/>
    <w:autoRedefine/>
    <w:uiPriority w:val="39"/>
    <w:unhideWhenUsed/>
    <w:rsid w:val="000D1607"/>
    <w:pPr>
      <w:spacing w:after="0"/>
      <w:ind w:left="539"/>
    </w:pPr>
    <w:rPr>
      <w:rFonts w:ascii="EB Garamond 08" w:hAnsi="EB Garamond 08"/>
      <w:sz w:val="20"/>
    </w:rPr>
  </w:style>
  <w:style w:type="paragraph" w:customStyle="1" w:styleId="Resumen">
    <w:name w:val="Resumen"/>
    <w:basedOn w:val="Normal"/>
    <w:qFormat/>
    <w:rsid w:val="002B4DE6"/>
    <w:pPr>
      <w:spacing w:after="60"/>
      <w:jc w:val="both"/>
    </w:pPr>
    <w:rPr>
      <w:rFonts w:ascii="DejaVu Serif" w:hAnsi="DejaVu Serif" w:cs="DejaVu Sans Condensed"/>
      <w:noProof/>
      <w:color w:val="auto"/>
      <w:szCs w:val="18"/>
      <w:lang w:val="es-CL" w:eastAsia="es-CL"/>
    </w:rPr>
  </w:style>
  <w:style w:type="paragraph" w:customStyle="1" w:styleId="Textodeldocumento">
    <w:name w:val="Texto del documento"/>
    <w:basedOn w:val="Normal"/>
    <w:qFormat/>
    <w:rsid w:val="002B4DE6"/>
    <w:pPr>
      <w:autoSpaceDE w:val="0"/>
      <w:autoSpaceDN w:val="0"/>
      <w:adjustRightInd w:val="0"/>
      <w:spacing w:after="0"/>
      <w:jc w:val="both"/>
    </w:pPr>
    <w:rPr>
      <w:rFonts w:ascii="DejaVu Serif" w:hAnsi="DejaVu Serif"/>
      <w:color w:val="000000"/>
      <w:sz w:val="20"/>
      <w:szCs w:val="24"/>
      <w:lang w:val="es-CL"/>
    </w:rPr>
  </w:style>
  <w:style w:type="paragraph" w:customStyle="1" w:styleId="Textocitaextensa">
    <w:name w:val="Texto cita extensa"/>
    <w:basedOn w:val="Normal"/>
    <w:qFormat/>
    <w:rsid w:val="00BB6968"/>
    <w:pPr>
      <w:autoSpaceDE w:val="0"/>
      <w:autoSpaceDN w:val="0"/>
      <w:adjustRightInd w:val="0"/>
      <w:spacing w:after="0"/>
      <w:ind w:left="567"/>
      <w:jc w:val="both"/>
    </w:pPr>
    <w:rPr>
      <w:rFonts w:ascii="DejaVu Serif" w:hAnsi="DejaVu Serif"/>
      <w:color w:val="000000"/>
      <w:szCs w:val="18"/>
      <w:lang w:val="es-CL"/>
    </w:rPr>
  </w:style>
  <w:style w:type="paragraph" w:customStyle="1" w:styleId="Textointeriortablas">
    <w:name w:val="Texto interior tablas"/>
    <w:basedOn w:val="Normal"/>
    <w:qFormat/>
    <w:rsid w:val="00BB6968"/>
    <w:pPr>
      <w:suppressLineNumbers/>
      <w:autoSpaceDE w:val="0"/>
      <w:autoSpaceDN w:val="0"/>
      <w:adjustRightInd w:val="0"/>
      <w:spacing w:after="0"/>
    </w:pPr>
    <w:rPr>
      <w:rFonts w:ascii="DejaVu Serif" w:hAnsi="DejaVu Serif"/>
      <w:szCs w:val="18"/>
      <w:lang w:val="es-CL"/>
    </w:rPr>
  </w:style>
  <w:style w:type="paragraph" w:customStyle="1" w:styleId="TtuloInforme">
    <w:name w:val="Título Informe"/>
    <w:basedOn w:val="Name"/>
    <w:qFormat/>
    <w:rsid w:val="00BB6968"/>
    <w:rPr>
      <w:rFonts w:ascii="DejaVu Serif" w:eastAsia="SimHei" w:hAnsi="DejaVu Serif" w:cs="DejaVu Sans"/>
      <w:bCs/>
      <w:color w:val="000000"/>
      <w:sz w:val="56"/>
      <w:szCs w:val="56"/>
      <w:lang w:val="es-CL"/>
    </w:rPr>
  </w:style>
  <w:style w:type="character" w:customStyle="1" w:styleId="t2">
    <w:name w:val="t2"/>
    <w:basedOn w:val="Fuentedeprrafopredeter"/>
    <w:rsid w:val="00F109A6"/>
  </w:style>
  <w:style w:type="character" w:customStyle="1" w:styleId="t3">
    <w:name w:val="t3"/>
    <w:basedOn w:val="Fuentedeprrafopredeter"/>
    <w:rsid w:val="00F109A6"/>
  </w:style>
  <w:style w:type="character" w:customStyle="1" w:styleId="apple-converted-space">
    <w:name w:val="apple-converted-space"/>
    <w:basedOn w:val="Fuentedeprrafopredeter"/>
    <w:rsid w:val="00F109A6"/>
  </w:style>
  <w:style w:type="paragraph" w:customStyle="1" w:styleId="Normal1">
    <w:name w:val="Normal1"/>
    <w:rsid w:val="00414E56"/>
    <w:rPr>
      <w:rFonts w:ascii="Times New Roman" w:eastAsia="Times New Roman" w:hAnsi="Times New Roman"/>
      <w:color w:val="000000"/>
      <w:sz w:val="24"/>
      <w:lang w:eastAsia="es-CL"/>
    </w:rPr>
  </w:style>
  <w:style w:type="paragraph" w:customStyle="1" w:styleId="Normal2">
    <w:name w:val="Normal2"/>
    <w:rsid w:val="00414E56"/>
    <w:pPr>
      <w:widowControl w:val="0"/>
      <w:contextualSpacing/>
    </w:pPr>
    <w:rPr>
      <w:rFonts w:ascii="Times New Roman" w:eastAsia="Times New Roman" w:hAnsi="Times New Roman"/>
      <w:color w:val="000000"/>
      <w:sz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107117936">
      <w:bodyDiv w:val="1"/>
      <w:marLeft w:val="0"/>
      <w:marRight w:val="0"/>
      <w:marTop w:val="0"/>
      <w:marBottom w:val="0"/>
      <w:divBdr>
        <w:top w:val="none" w:sz="0" w:space="0" w:color="auto"/>
        <w:left w:val="none" w:sz="0" w:space="0" w:color="auto"/>
        <w:bottom w:val="none" w:sz="0" w:space="0" w:color="auto"/>
        <w:right w:val="none" w:sz="0" w:space="0" w:color="auto"/>
      </w:divBdr>
      <w:divsChild>
        <w:div w:id="757095649">
          <w:marLeft w:val="0"/>
          <w:marRight w:val="0"/>
          <w:marTop w:val="0"/>
          <w:marBottom w:val="0"/>
          <w:divBdr>
            <w:top w:val="none" w:sz="0" w:space="0" w:color="auto"/>
            <w:left w:val="none" w:sz="0" w:space="0" w:color="auto"/>
            <w:bottom w:val="none" w:sz="0" w:space="0" w:color="auto"/>
            <w:right w:val="none" w:sz="0" w:space="0" w:color="auto"/>
          </w:divBdr>
        </w:div>
        <w:div w:id="1510097886">
          <w:marLeft w:val="0"/>
          <w:marRight w:val="0"/>
          <w:marTop w:val="0"/>
          <w:marBottom w:val="0"/>
          <w:divBdr>
            <w:top w:val="none" w:sz="0" w:space="0" w:color="auto"/>
            <w:left w:val="none" w:sz="0" w:space="0" w:color="auto"/>
            <w:bottom w:val="none" w:sz="0" w:space="0" w:color="auto"/>
            <w:right w:val="none" w:sz="0" w:space="0" w:color="auto"/>
          </w:divBdr>
        </w:div>
        <w:div w:id="826827373">
          <w:marLeft w:val="0"/>
          <w:marRight w:val="0"/>
          <w:marTop w:val="0"/>
          <w:marBottom w:val="0"/>
          <w:divBdr>
            <w:top w:val="none" w:sz="0" w:space="0" w:color="auto"/>
            <w:left w:val="none" w:sz="0" w:space="0" w:color="auto"/>
            <w:bottom w:val="none" w:sz="0" w:space="0" w:color="auto"/>
            <w:right w:val="none" w:sz="0" w:space="0" w:color="auto"/>
          </w:divBdr>
        </w:div>
        <w:div w:id="194080025">
          <w:marLeft w:val="0"/>
          <w:marRight w:val="0"/>
          <w:marTop w:val="0"/>
          <w:marBottom w:val="0"/>
          <w:divBdr>
            <w:top w:val="none" w:sz="0" w:space="0" w:color="auto"/>
            <w:left w:val="none" w:sz="0" w:space="0" w:color="auto"/>
            <w:bottom w:val="none" w:sz="0" w:space="0" w:color="auto"/>
            <w:right w:val="none" w:sz="0" w:space="0" w:color="auto"/>
          </w:divBdr>
        </w:div>
        <w:div w:id="2113352586">
          <w:marLeft w:val="0"/>
          <w:marRight w:val="0"/>
          <w:marTop w:val="0"/>
          <w:marBottom w:val="0"/>
          <w:divBdr>
            <w:top w:val="none" w:sz="0" w:space="0" w:color="auto"/>
            <w:left w:val="none" w:sz="0" w:space="0" w:color="auto"/>
            <w:bottom w:val="none" w:sz="0" w:space="0" w:color="auto"/>
            <w:right w:val="none" w:sz="0" w:space="0" w:color="auto"/>
          </w:divBdr>
        </w:div>
        <w:div w:id="10780151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rreo@bcn.c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tencionparlamentarios" TargetMode="External"/><Relationship Id="rId17" Type="http://schemas.openxmlformats.org/officeDocument/2006/relationships/hyperlink" Target="http://www.corteidh.or.cr/cf/jurisprudencia2/ficha_tecnica.cfm?lang=es&amp;nId_Ficha=342" TargetMode="External"/><Relationship Id="rId2" Type="http://schemas.openxmlformats.org/officeDocument/2006/relationships/customXml" Target="../customXml/item2.xml"/><Relationship Id="rId16" Type="http://schemas.openxmlformats.org/officeDocument/2006/relationships/hyperlink" Target="http://www.corteidh.or.cr/cf/jurisprudencia2/ficha_tecnica.cfm?nId_Ficha=332&amp;lang=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oas.org/es/sla/ddi/acceso_informacion_documentos_referencia.asp"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gwilliams@bcn.c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ownloads\Plant_unica_analisis_Esp_ATP_para_Word%20(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4A6E49F6-583E-4174-9D85-CD94E0D5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Plant_unica_analisis_Esp_ATP_para_Word (14).dotx</Template>
  <TotalTime>1</TotalTime>
  <Pages>12</Pages>
  <Words>7009</Words>
  <Characters>38552</Characters>
  <Application>Microsoft Office Word</Application>
  <DocSecurity>0</DocSecurity>
  <Lines>321</Lines>
  <Paragraphs>90</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Newsletter</vt:lpstr>
      <vt:lpstr>Introducción</vt:lpstr>
      <vt:lpstr>I. Título... </vt:lpstr>
      <vt:lpstr>    1. Subtítulo</vt:lpstr>
      <vt:lpstr>Conclusión</vt:lpstr>
    </vt:vector>
  </TitlesOfParts>
  <Company/>
  <LinksUpToDate>false</LinksUpToDate>
  <CharactersWithSpaces>45471</CharactersWithSpaces>
  <SharedDoc>false</SharedDoc>
  <HLinks>
    <vt:vector size="66" baseType="variant">
      <vt:variant>
        <vt:i4>3080286</vt:i4>
      </vt:variant>
      <vt:variant>
        <vt:i4>51</vt:i4>
      </vt:variant>
      <vt:variant>
        <vt:i4>0</vt:i4>
      </vt:variant>
      <vt:variant>
        <vt:i4>5</vt:i4>
      </vt:variant>
      <vt:variant>
        <vt:lpwstr>http://bcn.cl/1u61q</vt:lpwstr>
      </vt:variant>
      <vt:variant>
        <vt:lpwstr/>
      </vt:variant>
      <vt:variant>
        <vt:i4>1376259</vt:i4>
      </vt:variant>
      <vt:variant>
        <vt:i4>44</vt:i4>
      </vt:variant>
      <vt:variant>
        <vt:i4>0</vt:i4>
      </vt:variant>
      <vt:variant>
        <vt:i4>5</vt:i4>
      </vt:variant>
      <vt:variant>
        <vt:lpwstr/>
      </vt:variant>
      <vt:variant>
        <vt:lpwstr>_Toc428197563</vt:lpwstr>
      </vt:variant>
      <vt:variant>
        <vt:i4>1376258</vt:i4>
      </vt:variant>
      <vt:variant>
        <vt:i4>38</vt:i4>
      </vt:variant>
      <vt:variant>
        <vt:i4>0</vt:i4>
      </vt:variant>
      <vt:variant>
        <vt:i4>5</vt:i4>
      </vt:variant>
      <vt:variant>
        <vt:lpwstr/>
      </vt:variant>
      <vt:variant>
        <vt:lpwstr>_Toc428197562</vt:lpwstr>
      </vt:variant>
      <vt:variant>
        <vt:i4>1376257</vt:i4>
      </vt:variant>
      <vt:variant>
        <vt:i4>32</vt:i4>
      </vt:variant>
      <vt:variant>
        <vt:i4>0</vt:i4>
      </vt:variant>
      <vt:variant>
        <vt:i4>5</vt:i4>
      </vt:variant>
      <vt:variant>
        <vt:lpwstr/>
      </vt:variant>
      <vt:variant>
        <vt:lpwstr>_Toc428197561</vt:lpwstr>
      </vt:variant>
      <vt:variant>
        <vt:i4>1376256</vt:i4>
      </vt:variant>
      <vt:variant>
        <vt:i4>26</vt:i4>
      </vt:variant>
      <vt:variant>
        <vt:i4>0</vt:i4>
      </vt:variant>
      <vt:variant>
        <vt:i4>5</vt:i4>
      </vt:variant>
      <vt:variant>
        <vt:lpwstr/>
      </vt:variant>
      <vt:variant>
        <vt:lpwstr>_Toc428197560</vt:lpwstr>
      </vt:variant>
      <vt:variant>
        <vt:i4>1441801</vt:i4>
      </vt:variant>
      <vt:variant>
        <vt:i4>20</vt:i4>
      </vt:variant>
      <vt:variant>
        <vt:i4>0</vt:i4>
      </vt:variant>
      <vt:variant>
        <vt:i4>5</vt:i4>
      </vt:variant>
      <vt:variant>
        <vt:lpwstr/>
      </vt:variant>
      <vt:variant>
        <vt:lpwstr>_Toc428197559</vt:lpwstr>
      </vt:variant>
      <vt:variant>
        <vt:i4>1441800</vt:i4>
      </vt:variant>
      <vt:variant>
        <vt:i4>14</vt:i4>
      </vt:variant>
      <vt:variant>
        <vt:i4>0</vt:i4>
      </vt:variant>
      <vt:variant>
        <vt:i4>5</vt:i4>
      </vt:variant>
      <vt:variant>
        <vt:lpwstr/>
      </vt:variant>
      <vt:variant>
        <vt:lpwstr>_Toc428197558</vt:lpwstr>
      </vt:variant>
      <vt:variant>
        <vt:i4>7798871</vt:i4>
      </vt:variant>
      <vt:variant>
        <vt:i4>9</vt:i4>
      </vt:variant>
      <vt:variant>
        <vt:i4>0</vt:i4>
      </vt:variant>
      <vt:variant>
        <vt:i4>5</vt:i4>
      </vt:variant>
      <vt:variant>
        <vt:lpwstr>mailto:correo@bcn.cl</vt:lpwstr>
      </vt:variant>
      <vt:variant>
        <vt:lpwstr/>
      </vt:variant>
      <vt:variant>
        <vt:i4>7798871</vt:i4>
      </vt:variant>
      <vt:variant>
        <vt:i4>6</vt:i4>
      </vt:variant>
      <vt:variant>
        <vt:i4>0</vt:i4>
      </vt:variant>
      <vt:variant>
        <vt:i4>5</vt:i4>
      </vt:variant>
      <vt:variant>
        <vt:lpwstr>mailto:correo@bcn.cl</vt:lpwstr>
      </vt:variant>
      <vt:variant>
        <vt:lpwstr/>
      </vt:variant>
      <vt:variant>
        <vt:i4>7798871</vt:i4>
      </vt:variant>
      <vt:variant>
        <vt:i4>3</vt:i4>
      </vt:variant>
      <vt:variant>
        <vt:i4>0</vt:i4>
      </vt:variant>
      <vt:variant>
        <vt:i4>5</vt:i4>
      </vt:variant>
      <vt:variant>
        <vt:lpwstr>mailto:correo@bcn.cl</vt:lpwstr>
      </vt:variant>
      <vt:variant>
        <vt:lpwstr/>
      </vt:variant>
      <vt:variant>
        <vt:i4>327714</vt:i4>
      </vt:variant>
      <vt:variant>
        <vt:i4>0</vt:i4>
      </vt:variant>
      <vt:variant>
        <vt:i4>0</vt:i4>
      </vt:variant>
      <vt:variant>
        <vt:i4>5</vt:i4>
      </vt:variant>
      <vt:variant>
        <vt:lpwstr>mailto:atencionparlamentarios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BIBLIOTECA DEL CONGRESO NACIONAL DE CHILE</dc:subject>
  <dc:creator>Biblioteca del Congreso Nacional</dc:creator>
  <cp:keywords/>
  <dc:description/>
  <cp:lastModifiedBy>Williams, Guido</cp:lastModifiedBy>
  <cp:revision>2</cp:revision>
  <cp:lastPrinted>2017-04-27T11:49:00Z</cp:lastPrinted>
  <dcterms:created xsi:type="dcterms:W3CDTF">2017-04-28T15:49:00Z</dcterms:created>
  <dcterms:modified xsi:type="dcterms:W3CDTF">2017-04-28T15:49:00Z</dcterms:modified>
  <cp:category>SSP4XX…</cp:category>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