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C81BE3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E2696A" w:rsidRDefault="00C81BE3" w:rsidP="00E2696A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650DD5">
        <w:rPr>
          <w:rFonts w:ascii="Arial" w:hAnsi="Arial" w:cs="Arial"/>
          <w:b/>
          <w:lang w:val="es-ES"/>
        </w:rPr>
        <w:t>Senador Manuel José Ossandón Irarrázabal,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6C75AE" w:rsidRPr="00450799">
        <w:rPr>
          <w:rFonts w:ascii="Arial" w:hAnsi="Arial" w:cs="Arial"/>
          <w:b/>
          <w:lang w:val="es-ES"/>
        </w:rPr>
        <w:t>“</w:t>
      </w:r>
      <w:r w:rsidRPr="00C81BE3">
        <w:rPr>
          <w:rFonts w:ascii="Arial" w:hAnsi="Arial" w:cs="Arial"/>
          <w:b/>
          <w:lang w:val="es-ES"/>
        </w:rPr>
        <w:t>Ley de implementación de programas de salud para trastornos patológicos de alimentación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Bicentenario Indómito de Puren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6C75AE" w:rsidRPr="00CA1C8B">
        <w:rPr>
          <w:rFonts w:ascii="Arial" w:hAnsi="Arial" w:cs="Arial"/>
          <w:lang w:val="es-ES"/>
        </w:rPr>
        <w:t xml:space="preserve">, la cual propone </w:t>
      </w:r>
      <w:r w:rsidR="00E2696A">
        <w:rPr>
          <w:rFonts w:ascii="Arial" w:hAnsi="Arial" w:cs="Arial"/>
          <w:lang w:val="es-ES"/>
        </w:rPr>
        <w:t>la creación</w:t>
      </w:r>
      <w:r>
        <w:rPr>
          <w:rFonts w:ascii="Arial" w:hAnsi="Arial" w:cs="Arial"/>
          <w:lang w:val="es-ES"/>
        </w:rPr>
        <w:t xml:space="preserve"> </w:t>
      </w:r>
      <w:r w:rsidR="00E2696A" w:rsidRPr="00E2696A">
        <w:rPr>
          <w:rFonts w:ascii="Arial" w:hAnsi="Arial" w:cs="Arial"/>
          <w:lang w:val="es-ES"/>
        </w:rPr>
        <w:t>programas educativos en los establecimientos educacionales impartidos por profesionales del área de la salud, para prevenir, promover, tratar e informar a los estudiantes, acerca  de los trastornos alimenticios a través de talleres y además un seguimiento exhaustivo de</w:t>
      </w:r>
      <w:r w:rsidR="00E2696A">
        <w:rPr>
          <w:rFonts w:ascii="Arial" w:hAnsi="Arial" w:cs="Arial"/>
          <w:lang w:val="es-ES"/>
        </w:rPr>
        <w:t xml:space="preserve">l cumplimiento y los resultados </w:t>
      </w:r>
      <w:r w:rsidR="00E2696A" w:rsidRPr="00E2696A">
        <w:rPr>
          <w:rFonts w:ascii="Arial" w:hAnsi="Arial" w:cs="Arial"/>
          <w:lang w:val="es-ES"/>
        </w:rPr>
        <w:t>obtenidos.</w:t>
      </w:r>
      <w:r w:rsidR="00E2696A">
        <w:rPr>
          <w:rFonts w:ascii="Arial" w:hAnsi="Arial" w:cs="Arial"/>
          <w:lang w:val="es-ES"/>
        </w:rPr>
        <w:t xml:space="preserve"> El Estado debe lograr el alcance del Bien Común y la Felicidad. Es su rol social. Por esto, debe hacer todos los nexos necesarios para el cumplimiento de este proyecto de ley</w:t>
      </w:r>
      <w:r w:rsidR="00924F0E">
        <w:rPr>
          <w:rFonts w:ascii="Arial" w:hAnsi="Arial" w:cs="Arial"/>
          <w:lang w:val="es-ES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50DD5" w:rsidP="00650DD5">
      <w:pPr>
        <w:ind w:left="1416" w:firstLine="708"/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5AE" w:rsidRPr="00650DD5" w:rsidRDefault="00650DD5" w:rsidP="006C75AE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Manuel José Ossandón Irarrázabal</w:t>
      </w:r>
    </w:p>
    <w:p w:rsidR="006C75AE" w:rsidRPr="00650DD5" w:rsidRDefault="00650DD5" w:rsidP="006C75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50DD5">
        <w:rPr>
          <w:b/>
        </w:rPr>
        <w:t xml:space="preserve">         Senador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 xml:space="preserve">Valparaíso, </w:t>
      </w:r>
      <w:r w:rsidR="00650DD5">
        <w:t>31 de mayo de 2018.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117892"/>
    <w:rsid w:val="001F329E"/>
    <w:rsid w:val="00450799"/>
    <w:rsid w:val="00650DD5"/>
    <w:rsid w:val="0067745C"/>
    <w:rsid w:val="006C75AE"/>
    <w:rsid w:val="006E74A3"/>
    <w:rsid w:val="007E02EF"/>
    <w:rsid w:val="008B728C"/>
    <w:rsid w:val="00924F0E"/>
    <w:rsid w:val="009F3E4F"/>
    <w:rsid w:val="00C81BE3"/>
    <w:rsid w:val="00D8163B"/>
    <w:rsid w:val="00E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C89"/>
  <w15:docId w15:val="{406D9BF2-E9A2-4B9B-8615-87CBE3C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2018-05-31T16:18:00Z</dcterms:created>
  <dcterms:modified xsi:type="dcterms:W3CDTF">2018-05-31T16:18:00Z</dcterms:modified>
</cp:coreProperties>
</file>